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9968D">
      <w:pPr>
        <w:ind w:firstLine="3150" w:firstLineChars="1500"/>
        <w:rPr>
          <w:rFonts w:hint="eastAsia"/>
          <w:lang w:val="en-US" w:eastAsia="zh-CN"/>
        </w:rPr>
      </w:pPr>
      <w:r>
        <w:rPr>
          <w:rFonts w:hint="eastAsia"/>
          <w:lang w:val="en-US" w:eastAsia="zh-CN"/>
        </w:rPr>
        <w:t>风险披露和免责声明</w:t>
      </w:r>
    </w:p>
    <w:p w14:paraId="65820F75">
      <w:pPr>
        <w:ind w:firstLine="2940" w:firstLineChars="1400"/>
        <w:rPr>
          <w:rFonts w:hint="eastAsia" w:eastAsiaTheme="minorEastAsia"/>
          <w:lang w:val="en-US" w:eastAsia="zh-CN"/>
        </w:rPr>
      </w:pPr>
      <w:r>
        <w:rPr>
          <w:rFonts w:hint="default"/>
        </w:rPr>
        <w:t>HUASHANG FOUNDATION</w:t>
      </w:r>
      <w:r>
        <w:rPr>
          <w:rFonts w:hint="eastAsia"/>
          <w:lang w:val="en-US" w:eastAsia="zh-CN"/>
        </w:rPr>
        <w:t xml:space="preserve"> </w:t>
      </w:r>
    </w:p>
    <w:p w14:paraId="2F568DCC">
      <w:pPr>
        <w:rPr>
          <w:rFonts w:hint="default"/>
        </w:rPr>
      </w:pPr>
    </w:p>
    <w:p w14:paraId="44B9FFEB">
      <w:pPr>
        <w:rPr>
          <w:rFonts w:hint="default"/>
        </w:rPr>
      </w:pPr>
      <w:r>
        <w:rPr>
          <w:rFonts w:hint="default"/>
        </w:rPr>
        <w:t>Risk Disclosure and Disclaimer</w:t>
      </w:r>
    </w:p>
    <w:p w14:paraId="764AF2EB">
      <w:pPr>
        <w:rPr>
          <w:rFonts w:hint="default"/>
        </w:rPr>
      </w:pPr>
    </w:p>
    <w:p w14:paraId="65C0EF65">
      <w:pPr>
        <w:rPr>
          <w:rFonts w:hint="default"/>
        </w:rPr>
      </w:pPr>
      <w:r>
        <w:rPr>
          <w:rFonts w:hint="default"/>
        </w:rPr>
        <w:t>Originally Published: May 25, 2021</w:t>
      </w:r>
    </w:p>
    <w:p w14:paraId="5BAFB94E">
      <w:pPr>
        <w:rPr>
          <w:rFonts w:hint="default"/>
        </w:rPr>
      </w:pPr>
      <w:r>
        <w:rPr>
          <w:rFonts w:hint="default"/>
        </w:rPr>
        <w:t>Last Updated: October 3, 2025</w:t>
      </w:r>
    </w:p>
    <w:p w14:paraId="420836AF">
      <w:pPr>
        <w:rPr>
          <w:rFonts w:hint="default"/>
        </w:rPr>
      </w:pPr>
    </w:p>
    <w:p w14:paraId="679DA3C8">
      <w:pPr>
        <w:rPr>
          <w:rFonts w:hint="default"/>
        </w:rPr>
      </w:pPr>
      <w:r>
        <w:rPr>
          <w:rFonts w:hint="default"/>
        </w:rPr>
        <w:t>This Risk Disclosure and Disclaimer (the “Statement”) should be read together with the HUASHANG FOUNDATION Membership Service Terms (the “Terms”). Unless otherwise defined herein, capitalized terms shall have the meanings assigned to them in the Terms.</w:t>
      </w:r>
    </w:p>
    <w:p w14:paraId="5F6AA976">
      <w:pPr>
        <w:rPr>
          <w:rFonts w:hint="default"/>
        </w:rPr>
      </w:pPr>
    </w:p>
    <w:p w14:paraId="4B8A9609">
      <w:pPr>
        <w:rPr>
          <w:rFonts w:hint="default"/>
        </w:rPr>
      </w:pPr>
      <w:r>
        <w:rPr>
          <w:rFonts w:hint="default"/>
        </w:rPr>
        <w:t>This Statement is intended to provide transparency regarding the material risks and compliance considerations associated with the use of the HUASHANG FOUNDATION membership platform (the “Platform”).</w:t>
      </w:r>
    </w:p>
    <w:p w14:paraId="1842BF49">
      <w:pPr>
        <w:rPr>
          <w:rFonts w:hint="default"/>
        </w:rPr>
      </w:pPr>
    </w:p>
    <w:p w14:paraId="3308DF08">
      <w:pPr>
        <w:rPr>
          <w:rFonts w:hint="default"/>
        </w:rPr>
      </w:pPr>
      <w:r>
        <w:rPr>
          <w:rFonts w:hint="default"/>
        </w:rPr>
        <w:t>⸻</w:t>
      </w:r>
    </w:p>
    <w:p w14:paraId="6EF7EDFA">
      <w:pPr>
        <w:rPr>
          <w:rFonts w:hint="default"/>
        </w:rPr>
      </w:pPr>
    </w:p>
    <w:p w14:paraId="2A04F770">
      <w:pPr>
        <w:rPr>
          <w:rFonts w:hint="default"/>
        </w:rPr>
      </w:pPr>
      <w:r>
        <w:rPr>
          <w:rFonts w:hint="default"/>
        </w:rPr>
        <w:t>1. Nature of the Platform</w:t>
      </w:r>
    </w:p>
    <w:p w14:paraId="1209D9F2">
      <w:pPr>
        <w:rPr>
          <w:rFonts w:hint="default"/>
        </w:rPr>
      </w:pPr>
    </w:p>
    <w:p w14:paraId="7257BBE0">
      <w:pPr>
        <w:rPr>
          <w:rFonts w:hint="default"/>
        </w:rPr>
      </w:pPr>
      <w:r>
        <w:rPr>
          <w:rFonts w:hint="default"/>
        </w:rPr>
        <w:t>HUASHANG FOUNDATION operates as a membership-based service platform that provides:</w:t>
      </w:r>
    </w:p>
    <w:p w14:paraId="53077A57">
      <w:pPr>
        <w:rPr>
          <w:rFonts w:hint="default"/>
        </w:rPr>
      </w:pPr>
      <w:r>
        <w:rPr>
          <w:rFonts w:hint="default"/>
        </w:rPr>
        <w:tab/>
      </w:r>
      <w:r>
        <w:rPr>
          <w:rFonts w:hint="default"/>
        </w:rPr>
        <w:t>•</w:t>
      </w:r>
      <w:r>
        <w:rPr>
          <w:rFonts w:hint="default"/>
        </w:rPr>
        <w:tab/>
      </w:r>
      <w:r>
        <w:rPr>
          <w:rFonts w:hint="default"/>
        </w:rPr>
        <w:t>Membership benefit services</w:t>
      </w:r>
    </w:p>
    <w:p w14:paraId="3F99CDA1">
      <w:pPr>
        <w:rPr>
          <w:rFonts w:hint="default"/>
        </w:rPr>
      </w:pPr>
      <w:r>
        <w:rPr>
          <w:rFonts w:hint="default"/>
        </w:rPr>
        <w:tab/>
      </w:r>
      <w:r>
        <w:rPr>
          <w:rFonts w:hint="default"/>
        </w:rPr>
        <w:t>•</w:t>
      </w:r>
      <w:r>
        <w:rPr>
          <w:rFonts w:hint="default"/>
        </w:rPr>
        <w:tab/>
      </w:r>
      <w:r>
        <w:rPr>
          <w:rFonts w:hint="default"/>
        </w:rPr>
        <w:t>Information services</w:t>
      </w:r>
    </w:p>
    <w:p w14:paraId="6DC889CC">
      <w:pPr>
        <w:rPr>
          <w:rFonts w:hint="default"/>
        </w:rPr>
      </w:pPr>
      <w:r>
        <w:rPr>
          <w:rFonts w:hint="default"/>
        </w:rPr>
        <w:tab/>
      </w:r>
      <w:r>
        <w:rPr>
          <w:rFonts w:hint="default"/>
        </w:rPr>
        <w:t>•</w:t>
      </w:r>
      <w:r>
        <w:rPr>
          <w:rFonts w:hint="default"/>
        </w:rPr>
        <w:tab/>
      </w:r>
      <w:r>
        <w:rPr>
          <w:rFonts w:hint="default"/>
        </w:rPr>
        <w:t>Resource coordination and networking</w:t>
      </w:r>
    </w:p>
    <w:p w14:paraId="40798EE5">
      <w:pPr>
        <w:rPr>
          <w:rFonts w:hint="default"/>
        </w:rPr>
      </w:pPr>
      <w:r>
        <w:rPr>
          <w:rFonts w:hint="default"/>
        </w:rPr>
        <w:tab/>
      </w:r>
      <w:r>
        <w:rPr>
          <w:rFonts w:hint="default"/>
        </w:rPr>
        <w:t>•</w:t>
      </w:r>
      <w:r>
        <w:rPr>
          <w:rFonts w:hint="default"/>
        </w:rPr>
        <w:tab/>
      </w:r>
      <w:r>
        <w:rPr>
          <w:rFonts w:hint="default"/>
        </w:rPr>
        <w:t>Technical and administrative support</w:t>
      </w:r>
    </w:p>
    <w:p w14:paraId="489D9CC6">
      <w:pPr>
        <w:rPr>
          <w:rFonts w:hint="default"/>
        </w:rPr>
      </w:pPr>
    </w:p>
    <w:p w14:paraId="3AD931F0">
      <w:pPr>
        <w:rPr>
          <w:rFonts w:hint="default"/>
        </w:rPr>
      </w:pPr>
      <w:r>
        <w:rPr>
          <w:rFonts w:hint="default"/>
        </w:rPr>
        <w:t>Unless expressly stated otherwise in a separate written agreement, the Platform:</w:t>
      </w:r>
    </w:p>
    <w:p w14:paraId="4D4A16E5">
      <w:pPr>
        <w:rPr>
          <w:rFonts w:hint="default"/>
        </w:rPr>
      </w:pPr>
      <w:r>
        <w:rPr>
          <w:rFonts w:hint="default"/>
        </w:rPr>
        <w:tab/>
      </w:r>
      <w:r>
        <w:rPr>
          <w:rFonts w:hint="default"/>
        </w:rPr>
        <w:t>•</w:t>
      </w:r>
      <w:r>
        <w:rPr>
          <w:rFonts w:hint="default"/>
        </w:rPr>
        <w:tab/>
      </w:r>
      <w:r>
        <w:rPr>
          <w:rFonts w:hint="default"/>
        </w:rPr>
        <w:t>Is not a bank</w:t>
      </w:r>
    </w:p>
    <w:p w14:paraId="56C9B94F">
      <w:pPr>
        <w:rPr>
          <w:rFonts w:hint="default"/>
        </w:rPr>
      </w:pPr>
      <w:r>
        <w:rPr>
          <w:rFonts w:hint="default"/>
        </w:rPr>
        <w:tab/>
      </w:r>
      <w:r>
        <w:rPr>
          <w:rFonts w:hint="default"/>
        </w:rPr>
        <w:t>•</w:t>
      </w:r>
      <w:r>
        <w:rPr>
          <w:rFonts w:hint="default"/>
        </w:rPr>
        <w:tab/>
      </w:r>
      <w:r>
        <w:rPr>
          <w:rFonts w:hint="default"/>
        </w:rPr>
        <w:t>Is not a securities broker or exchange</w:t>
      </w:r>
    </w:p>
    <w:p w14:paraId="43847DD4">
      <w:pPr>
        <w:rPr>
          <w:rFonts w:hint="default"/>
        </w:rPr>
      </w:pPr>
      <w:r>
        <w:rPr>
          <w:rFonts w:hint="default"/>
        </w:rPr>
        <w:tab/>
      </w:r>
      <w:r>
        <w:rPr>
          <w:rFonts w:hint="default"/>
        </w:rPr>
        <w:t>•</w:t>
      </w:r>
      <w:r>
        <w:rPr>
          <w:rFonts w:hint="default"/>
        </w:rPr>
        <w:tab/>
      </w:r>
      <w:r>
        <w:rPr>
          <w:rFonts w:hint="default"/>
        </w:rPr>
        <w:t>Is not an investment advisor</w:t>
      </w:r>
    </w:p>
    <w:p w14:paraId="5BC57E6D">
      <w:pPr>
        <w:rPr>
          <w:rFonts w:hint="default"/>
        </w:rPr>
      </w:pPr>
      <w:r>
        <w:rPr>
          <w:rFonts w:hint="default"/>
        </w:rPr>
        <w:tab/>
      </w:r>
      <w:r>
        <w:rPr>
          <w:rFonts w:hint="default"/>
        </w:rPr>
        <w:t>•</w:t>
      </w:r>
      <w:r>
        <w:rPr>
          <w:rFonts w:hint="default"/>
        </w:rPr>
        <w:tab/>
      </w:r>
      <w:r>
        <w:rPr>
          <w:rFonts w:hint="default"/>
        </w:rPr>
        <w:t>Does not provide asset management services</w:t>
      </w:r>
    </w:p>
    <w:p w14:paraId="1A0EF591">
      <w:pPr>
        <w:rPr>
          <w:rFonts w:hint="default"/>
        </w:rPr>
      </w:pPr>
      <w:r>
        <w:rPr>
          <w:rFonts w:hint="default"/>
        </w:rPr>
        <w:tab/>
      </w:r>
      <w:r>
        <w:rPr>
          <w:rFonts w:hint="default"/>
        </w:rPr>
        <w:t>•</w:t>
      </w:r>
      <w:r>
        <w:rPr>
          <w:rFonts w:hint="default"/>
        </w:rPr>
        <w:tab/>
      </w:r>
      <w:r>
        <w:rPr>
          <w:rFonts w:hint="default"/>
        </w:rPr>
        <w:t>Does not offer deposit-taking services</w:t>
      </w:r>
    </w:p>
    <w:p w14:paraId="4CE2507F">
      <w:pPr>
        <w:rPr>
          <w:rFonts w:hint="default"/>
        </w:rPr>
      </w:pPr>
    </w:p>
    <w:p w14:paraId="5F4B686F">
      <w:pPr>
        <w:rPr>
          <w:rFonts w:hint="default"/>
        </w:rPr>
      </w:pPr>
      <w:r>
        <w:rPr>
          <w:rFonts w:hint="default"/>
        </w:rPr>
        <w:t>The Platform does not guarantee any returns or financial performance.</w:t>
      </w:r>
    </w:p>
    <w:p w14:paraId="5AA27B6A">
      <w:pPr>
        <w:rPr>
          <w:rFonts w:hint="default"/>
        </w:rPr>
      </w:pPr>
    </w:p>
    <w:p w14:paraId="477DE4D9">
      <w:pPr>
        <w:rPr>
          <w:rFonts w:hint="default"/>
        </w:rPr>
      </w:pPr>
      <w:r>
        <w:rPr>
          <w:rFonts w:hint="default"/>
        </w:rPr>
        <w:t>⸻</w:t>
      </w:r>
    </w:p>
    <w:p w14:paraId="43941800">
      <w:pPr>
        <w:rPr>
          <w:rFonts w:hint="default"/>
        </w:rPr>
      </w:pPr>
    </w:p>
    <w:p w14:paraId="2BF8332F">
      <w:pPr>
        <w:rPr>
          <w:rFonts w:hint="default"/>
        </w:rPr>
      </w:pPr>
      <w:r>
        <w:rPr>
          <w:rFonts w:hint="default"/>
        </w:rPr>
        <w:t>2. General Risk Warning</w:t>
      </w:r>
    </w:p>
    <w:p w14:paraId="4D53039C">
      <w:pPr>
        <w:rPr>
          <w:rFonts w:hint="default"/>
        </w:rPr>
      </w:pPr>
    </w:p>
    <w:p w14:paraId="7FE8FA44">
      <w:pPr>
        <w:rPr>
          <w:rFonts w:hint="default"/>
        </w:rPr>
      </w:pPr>
      <w:r>
        <w:rPr>
          <w:rFonts w:hint="default"/>
        </w:rPr>
        <w:t>Participation in membership services, collaborative activities, digital asset-related services, or project coordination may involve risk.</w:t>
      </w:r>
    </w:p>
    <w:p w14:paraId="756D5908">
      <w:pPr>
        <w:rPr>
          <w:rFonts w:hint="default"/>
        </w:rPr>
      </w:pPr>
    </w:p>
    <w:p w14:paraId="3682FDE2">
      <w:pPr>
        <w:rPr>
          <w:rFonts w:hint="default"/>
        </w:rPr>
      </w:pPr>
      <w:r>
        <w:rPr>
          <w:rFonts w:hint="default"/>
        </w:rPr>
        <w:t>You should carefully evaluate your financial situation, risk tolerance, and independent judgment before engaging in any transaction or arrangement through the Platform.</w:t>
      </w:r>
    </w:p>
    <w:p w14:paraId="1E129010">
      <w:pPr>
        <w:rPr>
          <w:rFonts w:hint="default"/>
        </w:rPr>
      </w:pPr>
    </w:p>
    <w:p w14:paraId="1D31C219">
      <w:pPr>
        <w:rPr>
          <w:rFonts w:hint="default"/>
        </w:rPr>
      </w:pPr>
      <w:r>
        <w:rPr>
          <w:rFonts w:hint="default"/>
        </w:rPr>
        <w:t>You acknowledge that you may lose the entire amount contributed, paid, or committed.</w:t>
      </w:r>
    </w:p>
    <w:p w14:paraId="5B535354">
      <w:pPr>
        <w:rPr>
          <w:rFonts w:hint="default"/>
        </w:rPr>
      </w:pPr>
    </w:p>
    <w:p w14:paraId="15FCCD76">
      <w:pPr>
        <w:rPr>
          <w:rFonts w:hint="default"/>
        </w:rPr>
      </w:pPr>
      <w:r>
        <w:rPr>
          <w:rFonts w:hint="default"/>
        </w:rPr>
        <w:t>⸻</w:t>
      </w:r>
    </w:p>
    <w:p w14:paraId="6FF8319F">
      <w:pPr>
        <w:rPr>
          <w:rFonts w:hint="default"/>
        </w:rPr>
      </w:pPr>
    </w:p>
    <w:p w14:paraId="6F88B684">
      <w:pPr>
        <w:rPr>
          <w:rFonts w:hint="default"/>
        </w:rPr>
      </w:pPr>
      <w:r>
        <w:rPr>
          <w:rFonts w:hint="default"/>
        </w:rPr>
        <w:t>3. Digital Asset Risk Disclosure (If Applicable)</w:t>
      </w:r>
    </w:p>
    <w:p w14:paraId="137C74C0">
      <w:pPr>
        <w:rPr>
          <w:rFonts w:hint="default"/>
        </w:rPr>
      </w:pPr>
    </w:p>
    <w:p w14:paraId="40A2FEB0">
      <w:pPr>
        <w:rPr>
          <w:rFonts w:hint="default"/>
        </w:rPr>
      </w:pPr>
      <w:r>
        <w:rPr>
          <w:rFonts w:hint="default"/>
        </w:rPr>
        <w:t>Digital assets are considered innovative alternative assets and:</w:t>
      </w:r>
    </w:p>
    <w:p w14:paraId="6BE08380">
      <w:pPr>
        <w:rPr>
          <w:rFonts w:hint="default"/>
        </w:rPr>
      </w:pPr>
      <w:r>
        <w:rPr>
          <w:rFonts w:hint="default"/>
        </w:rPr>
        <w:tab/>
      </w:r>
      <w:r>
        <w:rPr>
          <w:rFonts w:hint="default"/>
        </w:rPr>
        <w:t>•</w:t>
      </w:r>
      <w:r>
        <w:rPr>
          <w:rFonts w:hint="default"/>
        </w:rPr>
        <w:tab/>
      </w:r>
      <w:r>
        <w:rPr>
          <w:rFonts w:hint="default"/>
        </w:rPr>
        <w:t>Are not legal tender</w:t>
      </w:r>
    </w:p>
    <w:p w14:paraId="5B3A6D31">
      <w:pPr>
        <w:rPr>
          <w:rFonts w:hint="default"/>
        </w:rPr>
      </w:pPr>
      <w:r>
        <w:rPr>
          <w:rFonts w:hint="default"/>
        </w:rPr>
        <w:tab/>
      </w:r>
      <w:r>
        <w:rPr>
          <w:rFonts w:hint="default"/>
        </w:rPr>
        <w:t>•</w:t>
      </w:r>
      <w:r>
        <w:rPr>
          <w:rFonts w:hint="default"/>
        </w:rPr>
        <w:tab/>
      </w:r>
      <w:r>
        <w:rPr>
          <w:rFonts w:hint="default"/>
        </w:rPr>
        <w:t>Are not issued or backed by any government or central bank</w:t>
      </w:r>
    </w:p>
    <w:p w14:paraId="6B606AC3">
      <w:pPr>
        <w:rPr>
          <w:rFonts w:hint="default"/>
        </w:rPr>
      </w:pPr>
      <w:r>
        <w:rPr>
          <w:rFonts w:hint="default"/>
        </w:rPr>
        <w:tab/>
      </w:r>
      <w:r>
        <w:rPr>
          <w:rFonts w:hint="default"/>
        </w:rPr>
        <w:t>•</w:t>
      </w:r>
      <w:r>
        <w:rPr>
          <w:rFonts w:hint="default"/>
        </w:rPr>
        <w:tab/>
      </w:r>
      <w:r>
        <w:rPr>
          <w:rFonts w:hint="default"/>
        </w:rPr>
        <w:t>Are not protected by deposit insurance</w:t>
      </w:r>
    </w:p>
    <w:p w14:paraId="52125A99">
      <w:pPr>
        <w:rPr>
          <w:rFonts w:hint="default"/>
        </w:rPr>
      </w:pPr>
      <w:r>
        <w:rPr>
          <w:rFonts w:hint="default"/>
        </w:rPr>
        <w:tab/>
      </w:r>
      <w:r>
        <w:rPr>
          <w:rFonts w:hint="default"/>
        </w:rPr>
        <w:t>•</w:t>
      </w:r>
      <w:r>
        <w:rPr>
          <w:rFonts w:hint="default"/>
        </w:rPr>
        <w:tab/>
      </w:r>
      <w:r>
        <w:rPr>
          <w:rFonts w:hint="default"/>
        </w:rPr>
        <w:t>May experience extreme price volatility</w:t>
      </w:r>
    </w:p>
    <w:p w14:paraId="1CB70615">
      <w:pPr>
        <w:rPr>
          <w:rFonts w:hint="default"/>
        </w:rPr>
      </w:pPr>
    </w:p>
    <w:p w14:paraId="32648D38">
      <w:pPr>
        <w:rPr>
          <w:rFonts w:hint="default"/>
        </w:rPr>
      </w:pPr>
      <w:r>
        <w:rPr>
          <w:rFonts w:hint="default"/>
        </w:rPr>
        <w:t>The regulatory treatment of digital assets varies across jurisdictions and may change over time.</w:t>
      </w:r>
    </w:p>
    <w:p w14:paraId="4E05DFD0">
      <w:pPr>
        <w:rPr>
          <w:rFonts w:hint="default"/>
        </w:rPr>
      </w:pPr>
    </w:p>
    <w:p w14:paraId="0C2E2F3A">
      <w:pPr>
        <w:rPr>
          <w:rFonts w:hint="default"/>
        </w:rPr>
      </w:pPr>
      <w:r>
        <w:rPr>
          <w:rFonts w:hint="default"/>
        </w:rPr>
        <w:t>⸻</w:t>
      </w:r>
    </w:p>
    <w:p w14:paraId="1B1610B9">
      <w:pPr>
        <w:rPr>
          <w:rFonts w:hint="default"/>
        </w:rPr>
      </w:pPr>
    </w:p>
    <w:p w14:paraId="7ECA5367">
      <w:pPr>
        <w:rPr>
          <w:rFonts w:hint="default"/>
        </w:rPr>
      </w:pPr>
      <w:r>
        <w:rPr>
          <w:rFonts w:hint="default"/>
        </w:rPr>
        <w:t>4. Regulatory and Legal Risk</w:t>
      </w:r>
    </w:p>
    <w:p w14:paraId="37647E56">
      <w:pPr>
        <w:rPr>
          <w:rFonts w:hint="default"/>
        </w:rPr>
      </w:pPr>
    </w:p>
    <w:p w14:paraId="202E62E7">
      <w:pPr>
        <w:rPr>
          <w:rFonts w:hint="default"/>
        </w:rPr>
      </w:pPr>
      <w:r>
        <w:rPr>
          <w:rFonts w:hint="default"/>
        </w:rPr>
        <w:t>Laws and regulations applicable to membership platforms, digital assets, cross-border activities, and financial compliance may change.</w:t>
      </w:r>
    </w:p>
    <w:p w14:paraId="7F56F8A3">
      <w:pPr>
        <w:rPr>
          <w:rFonts w:hint="default"/>
        </w:rPr>
      </w:pPr>
    </w:p>
    <w:p w14:paraId="438FB1B9">
      <w:pPr>
        <w:rPr>
          <w:rFonts w:hint="default"/>
        </w:rPr>
      </w:pPr>
      <w:r>
        <w:rPr>
          <w:rFonts w:hint="default"/>
        </w:rPr>
        <w:t>Regulatory developments may result in:</w:t>
      </w:r>
    </w:p>
    <w:p w14:paraId="0EFDF27B">
      <w:pPr>
        <w:rPr>
          <w:rFonts w:hint="default"/>
        </w:rPr>
      </w:pPr>
      <w:r>
        <w:rPr>
          <w:rFonts w:hint="default"/>
        </w:rPr>
        <w:tab/>
      </w:r>
      <w:r>
        <w:rPr>
          <w:rFonts w:hint="default"/>
        </w:rPr>
        <w:t>•</w:t>
      </w:r>
      <w:r>
        <w:rPr>
          <w:rFonts w:hint="default"/>
        </w:rPr>
        <w:tab/>
      </w:r>
      <w:r>
        <w:rPr>
          <w:rFonts w:hint="default"/>
        </w:rPr>
        <w:t>Service modifications</w:t>
      </w:r>
    </w:p>
    <w:p w14:paraId="333425A1">
      <w:pPr>
        <w:rPr>
          <w:rFonts w:hint="default"/>
        </w:rPr>
      </w:pPr>
      <w:r>
        <w:rPr>
          <w:rFonts w:hint="default"/>
        </w:rPr>
        <w:tab/>
      </w:r>
      <w:r>
        <w:rPr>
          <w:rFonts w:hint="default"/>
        </w:rPr>
        <w:t>•</w:t>
      </w:r>
      <w:r>
        <w:rPr>
          <w:rFonts w:hint="default"/>
        </w:rPr>
        <w:tab/>
      </w:r>
      <w:r>
        <w:rPr>
          <w:rFonts w:hint="default"/>
        </w:rPr>
        <w:t>Temporary suspension</w:t>
      </w:r>
    </w:p>
    <w:p w14:paraId="22055E46">
      <w:pPr>
        <w:rPr>
          <w:rFonts w:hint="default"/>
        </w:rPr>
      </w:pPr>
      <w:r>
        <w:rPr>
          <w:rFonts w:hint="default"/>
        </w:rPr>
        <w:tab/>
      </w:r>
      <w:r>
        <w:rPr>
          <w:rFonts w:hint="default"/>
        </w:rPr>
        <w:t>•</w:t>
      </w:r>
      <w:r>
        <w:rPr>
          <w:rFonts w:hint="default"/>
        </w:rPr>
        <w:tab/>
      </w:r>
      <w:r>
        <w:rPr>
          <w:rFonts w:hint="default"/>
        </w:rPr>
        <w:t>Geographic restrictions</w:t>
      </w:r>
    </w:p>
    <w:p w14:paraId="62BDDCCE">
      <w:pPr>
        <w:rPr>
          <w:rFonts w:hint="default"/>
        </w:rPr>
      </w:pPr>
      <w:r>
        <w:rPr>
          <w:rFonts w:hint="default"/>
        </w:rPr>
        <w:tab/>
      </w:r>
      <w:r>
        <w:rPr>
          <w:rFonts w:hint="default"/>
        </w:rPr>
        <w:t>•</w:t>
      </w:r>
      <w:r>
        <w:rPr>
          <w:rFonts w:hint="default"/>
        </w:rPr>
        <w:tab/>
      </w:r>
      <w:r>
        <w:rPr>
          <w:rFonts w:hint="default"/>
        </w:rPr>
        <w:t>Additional compliance requirements</w:t>
      </w:r>
    </w:p>
    <w:p w14:paraId="71F08BFC">
      <w:pPr>
        <w:rPr>
          <w:rFonts w:hint="default"/>
        </w:rPr>
      </w:pPr>
    </w:p>
    <w:p w14:paraId="07D2C83B">
      <w:pPr>
        <w:rPr>
          <w:rFonts w:hint="default"/>
        </w:rPr>
      </w:pPr>
      <w:r>
        <w:rPr>
          <w:rFonts w:hint="default"/>
        </w:rPr>
        <w:t>HUASHANG FOUNDATION reserves the right to adjust services in order to comply with applicable laws.</w:t>
      </w:r>
    </w:p>
    <w:p w14:paraId="1CE11E44">
      <w:pPr>
        <w:rPr>
          <w:rFonts w:hint="default"/>
        </w:rPr>
      </w:pPr>
    </w:p>
    <w:p w14:paraId="0C9EC355">
      <w:pPr>
        <w:rPr>
          <w:rFonts w:hint="default"/>
        </w:rPr>
      </w:pPr>
      <w:r>
        <w:rPr>
          <w:rFonts w:hint="default"/>
        </w:rPr>
        <w:t>⸻</w:t>
      </w:r>
    </w:p>
    <w:p w14:paraId="7533DB32">
      <w:pPr>
        <w:rPr>
          <w:rFonts w:hint="default"/>
        </w:rPr>
      </w:pPr>
    </w:p>
    <w:p w14:paraId="7C5C7778">
      <w:pPr>
        <w:rPr>
          <w:rFonts w:hint="default"/>
        </w:rPr>
      </w:pPr>
      <w:r>
        <w:rPr>
          <w:rFonts w:hint="default"/>
        </w:rPr>
        <w:t>5. Compliance and AML / Sanctions Screening</w:t>
      </w:r>
    </w:p>
    <w:p w14:paraId="2BC49460">
      <w:pPr>
        <w:rPr>
          <w:rFonts w:hint="default"/>
        </w:rPr>
      </w:pPr>
    </w:p>
    <w:p w14:paraId="52D4A28B">
      <w:pPr>
        <w:rPr>
          <w:rFonts w:hint="default"/>
        </w:rPr>
      </w:pPr>
      <w:r>
        <w:rPr>
          <w:rFonts w:hint="default"/>
        </w:rPr>
        <w:t>To maintain a lawful and compliant environment, the Platform implements risk-based compliance controls, including:</w:t>
      </w:r>
    </w:p>
    <w:p w14:paraId="01600E7D">
      <w:pPr>
        <w:rPr>
          <w:rFonts w:hint="default"/>
        </w:rPr>
      </w:pPr>
      <w:r>
        <w:rPr>
          <w:rFonts w:hint="default"/>
        </w:rPr>
        <w:tab/>
      </w:r>
      <w:r>
        <w:rPr>
          <w:rFonts w:hint="default"/>
        </w:rPr>
        <w:t>•</w:t>
      </w:r>
      <w:r>
        <w:rPr>
          <w:rFonts w:hint="default"/>
        </w:rPr>
        <w:tab/>
      </w:r>
      <w:r>
        <w:rPr>
          <w:rFonts w:hint="default"/>
        </w:rPr>
        <w:t>Identity verification (KYC)</w:t>
      </w:r>
    </w:p>
    <w:p w14:paraId="7FB43F06">
      <w:pPr>
        <w:rPr>
          <w:rFonts w:hint="default"/>
        </w:rPr>
      </w:pPr>
      <w:r>
        <w:rPr>
          <w:rFonts w:hint="default"/>
        </w:rPr>
        <w:tab/>
      </w:r>
      <w:r>
        <w:rPr>
          <w:rFonts w:hint="default"/>
        </w:rPr>
        <w:t>•</w:t>
      </w:r>
      <w:r>
        <w:rPr>
          <w:rFonts w:hint="default"/>
        </w:rPr>
        <w:tab/>
      </w:r>
      <w:r>
        <w:rPr>
          <w:rFonts w:hint="default"/>
        </w:rPr>
        <w:t>Beneficial ownership verification (where applicable)</w:t>
      </w:r>
    </w:p>
    <w:p w14:paraId="6FE7A5BE">
      <w:pPr>
        <w:rPr>
          <w:rFonts w:hint="default"/>
        </w:rPr>
      </w:pPr>
      <w:r>
        <w:rPr>
          <w:rFonts w:hint="default"/>
        </w:rPr>
        <w:tab/>
      </w:r>
      <w:r>
        <w:rPr>
          <w:rFonts w:hint="default"/>
        </w:rPr>
        <w:t>•</w:t>
      </w:r>
      <w:r>
        <w:rPr>
          <w:rFonts w:hint="default"/>
        </w:rPr>
        <w:tab/>
      </w:r>
      <w:r>
        <w:rPr>
          <w:rFonts w:hint="default"/>
        </w:rPr>
        <w:t>Sanctions and watchlist screening (including OFAC and UN lists where applicable)</w:t>
      </w:r>
    </w:p>
    <w:p w14:paraId="140CFB6B">
      <w:pPr>
        <w:rPr>
          <w:rFonts w:hint="default"/>
        </w:rPr>
      </w:pPr>
      <w:r>
        <w:rPr>
          <w:rFonts w:hint="default"/>
        </w:rPr>
        <w:tab/>
      </w:r>
      <w:r>
        <w:rPr>
          <w:rFonts w:hint="default"/>
        </w:rPr>
        <w:t>•</w:t>
      </w:r>
      <w:r>
        <w:rPr>
          <w:rFonts w:hint="default"/>
        </w:rPr>
        <w:tab/>
      </w:r>
      <w:r>
        <w:rPr>
          <w:rFonts w:hint="default"/>
        </w:rPr>
        <w:t>Ongoing monitoring of suspicious activity</w:t>
      </w:r>
    </w:p>
    <w:p w14:paraId="4B243E2D">
      <w:pPr>
        <w:rPr>
          <w:rFonts w:hint="default"/>
        </w:rPr>
      </w:pPr>
    </w:p>
    <w:p w14:paraId="30B00517">
      <w:pPr>
        <w:rPr>
          <w:rFonts w:hint="default"/>
        </w:rPr>
      </w:pPr>
      <w:r>
        <w:rPr>
          <w:rFonts w:hint="default"/>
        </w:rPr>
        <w:t>The Platform reserves the right to:</w:t>
      </w:r>
    </w:p>
    <w:p w14:paraId="4565729F">
      <w:pPr>
        <w:rPr>
          <w:rFonts w:hint="default"/>
        </w:rPr>
      </w:pPr>
      <w:r>
        <w:rPr>
          <w:rFonts w:hint="default"/>
        </w:rPr>
        <w:tab/>
      </w:r>
      <w:r>
        <w:rPr>
          <w:rFonts w:hint="default"/>
        </w:rPr>
        <w:t>•</w:t>
      </w:r>
      <w:r>
        <w:rPr>
          <w:rFonts w:hint="default"/>
        </w:rPr>
        <w:tab/>
      </w:r>
      <w:r>
        <w:rPr>
          <w:rFonts w:hint="default"/>
        </w:rPr>
        <w:t>Request additional documentation</w:t>
      </w:r>
    </w:p>
    <w:p w14:paraId="6456B126">
      <w:pPr>
        <w:rPr>
          <w:rFonts w:hint="default"/>
        </w:rPr>
      </w:pPr>
      <w:r>
        <w:rPr>
          <w:rFonts w:hint="default"/>
        </w:rPr>
        <w:tab/>
      </w:r>
      <w:r>
        <w:rPr>
          <w:rFonts w:hint="default"/>
        </w:rPr>
        <w:t>•</w:t>
      </w:r>
      <w:r>
        <w:rPr>
          <w:rFonts w:hint="default"/>
        </w:rPr>
        <w:tab/>
      </w:r>
      <w:r>
        <w:rPr>
          <w:rFonts w:hint="default"/>
        </w:rPr>
        <w:t>Restrict or suspend accounts</w:t>
      </w:r>
    </w:p>
    <w:p w14:paraId="4396DE31">
      <w:pPr>
        <w:rPr>
          <w:rFonts w:hint="default"/>
        </w:rPr>
      </w:pPr>
      <w:r>
        <w:rPr>
          <w:rFonts w:hint="default"/>
        </w:rPr>
        <w:tab/>
      </w:r>
      <w:r>
        <w:rPr>
          <w:rFonts w:hint="default"/>
        </w:rPr>
        <w:t>•</w:t>
      </w:r>
      <w:r>
        <w:rPr>
          <w:rFonts w:hint="default"/>
        </w:rPr>
        <w:tab/>
      </w:r>
      <w:r>
        <w:rPr>
          <w:rFonts w:hint="default"/>
        </w:rPr>
        <w:t>Terminate services</w:t>
      </w:r>
    </w:p>
    <w:p w14:paraId="262AF353">
      <w:pPr>
        <w:rPr>
          <w:rFonts w:hint="default"/>
        </w:rPr>
      </w:pPr>
      <w:r>
        <w:rPr>
          <w:rFonts w:hint="default"/>
        </w:rPr>
        <w:tab/>
      </w:r>
      <w:r>
        <w:rPr>
          <w:rFonts w:hint="default"/>
        </w:rPr>
        <w:t>•</w:t>
      </w:r>
      <w:r>
        <w:rPr>
          <w:rFonts w:hint="default"/>
        </w:rPr>
        <w:tab/>
      </w:r>
      <w:r>
        <w:rPr>
          <w:rFonts w:hint="default"/>
        </w:rPr>
        <w:t>Report suspicious activities to competent authorities where required by law</w:t>
      </w:r>
    </w:p>
    <w:p w14:paraId="7C5DF647">
      <w:pPr>
        <w:rPr>
          <w:rFonts w:hint="default"/>
        </w:rPr>
      </w:pPr>
    </w:p>
    <w:p w14:paraId="04156811">
      <w:pPr>
        <w:rPr>
          <w:rFonts w:hint="default"/>
        </w:rPr>
      </w:pPr>
      <w:r>
        <w:rPr>
          <w:rFonts w:hint="default"/>
        </w:rPr>
        <w:t>⸻</w:t>
      </w:r>
    </w:p>
    <w:p w14:paraId="6F790CCE">
      <w:pPr>
        <w:rPr>
          <w:rFonts w:hint="default"/>
        </w:rPr>
      </w:pPr>
    </w:p>
    <w:p w14:paraId="491BE8FD">
      <w:pPr>
        <w:rPr>
          <w:rFonts w:hint="default"/>
        </w:rPr>
      </w:pPr>
      <w:r>
        <w:rPr>
          <w:rFonts w:hint="default"/>
        </w:rPr>
        <w:t>6. Technical and Operational Risk</w:t>
      </w:r>
    </w:p>
    <w:p w14:paraId="0E0F9C35">
      <w:pPr>
        <w:rPr>
          <w:rFonts w:hint="default"/>
        </w:rPr>
      </w:pPr>
    </w:p>
    <w:p w14:paraId="2337A4C5">
      <w:pPr>
        <w:rPr>
          <w:rFonts w:hint="default"/>
        </w:rPr>
      </w:pPr>
      <w:r>
        <w:rPr>
          <w:rFonts w:hint="default"/>
        </w:rPr>
        <w:t>The use of online platforms and digital systems involves risks including but not limited to:</w:t>
      </w:r>
    </w:p>
    <w:p w14:paraId="2024B054">
      <w:pPr>
        <w:rPr>
          <w:rFonts w:hint="default"/>
        </w:rPr>
      </w:pPr>
      <w:r>
        <w:rPr>
          <w:rFonts w:hint="default"/>
        </w:rPr>
        <w:tab/>
      </w:r>
      <w:r>
        <w:rPr>
          <w:rFonts w:hint="default"/>
        </w:rPr>
        <w:t>•</w:t>
      </w:r>
      <w:r>
        <w:rPr>
          <w:rFonts w:hint="default"/>
        </w:rPr>
        <w:tab/>
      </w:r>
      <w:r>
        <w:rPr>
          <w:rFonts w:hint="default"/>
        </w:rPr>
        <w:t>Network outages</w:t>
      </w:r>
    </w:p>
    <w:p w14:paraId="45EF2385">
      <w:pPr>
        <w:rPr>
          <w:rFonts w:hint="default"/>
        </w:rPr>
      </w:pPr>
      <w:r>
        <w:rPr>
          <w:rFonts w:hint="default"/>
        </w:rPr>
        <w:tab/>
      </w:r>
      <w:r>
        <w:rPr>
          <w:rFonts w:hint="default"/>
        </w:rPr>
        <w:t>•</w:t>
      </w:r>
      <w:r>
        <w:rPr>
          <w:rFonts w:hint="default"/>
        </w:rPr>
        <w:tab/>
      </w:r>
      <w:r>
        <w:rPr>
          <w:rFonts w:hint="default"/>
        </w:rPr>
        <w:t>System delays</w:t>
      </w:r>
    </w:p>
    <w:p w14:paraId="5E2E769E">
      <w:pPr>
        <w:rPr>
          <w:rFonts w:hint="default"/>
        </w:rPr>
      </w:pPr>
      <w:r>
        <w:rPr>
          <w:rFonts w:hint="default"/>
        </w:rPr>
        <w:tab/>
      </w:r>
      <w:r>
        <w:rPr>
          <w:rFonts w:hint="default"/>
        </w:rPr>
        <w:t>•</w:t>
      </w:r>
      <w:r>
        <w:rPr>
          <w:rFonts w:hint="default"/>
        </w:rPr>
        <w:tab/>
      </w:r>
      <w:r>
        <w:rPr>
          <w:rFonts w:hint="default"/>
        </w:rPr>
        <w:t>Cybersecurity threats</w:t>
      </w:r>
    </w:p>
    <w:p w14:paraId="26EE8AC9">
      <w:pPr>
        <w:rPr>
          <w:rFonts w:hint="default"/>
        </w:rPr>
      </w:pPr>
      <w:r>
        <w:rPr>
          <w:rFonts w:hint="default"/>
        </w:rPr>
        <w:tab/>
      </w:r>
      <w:r>
        <w:rPr>
          <w:rFonts w:hint="default"/>
        </w:rPr>
        <w:t>•</w:t>
      </w:r>
      <w:r>
        <w:rPr>
          <w:rFonts w:hint="default"/>
        </w:rPr>
        <w:tab/>
      </w:r>
      <w:r>
        <w:rPr>
          <w:rFonts w:hint="default"/>
        </w:rPr>
        <w:t>Data transmission errors</w:t>
      </w:r>
    </w:p>
    <w:p w14:paraId="5F999220">
      <w:pPr>
        <w:rPr>
          <w:rFonts w:hint="default"/>
        </w:rPr>
      </w:pPr>
      <w:r>
        <w:rPr>
          <w:rFonts w:hint="default"/>
        </w:rPr>
        <w:tab/>
      </w:r>
      <w:r>
        <w:rPr>
          <w:rFonts w:hint="default"/>
        </w:rPr>
        <w:t>•</w:t>
      </w:r>
      <w:r>
        <w:rPr>
          <w:rFonts w:hint="default"/>
        </w:rPr>
        <w:tab/>
      </w:r>
      <w:r>
        <w:rPr>
          <w:rFonts w:hint="default"/>
        </w:rPr>
        <w:t>Third-party service disruptions</w:t>
      </w:r>
    </w:p>
    <w:p w14:paraId="3A57E8C0">
      <w:pPr>
        <w:rPr>
          <w:rFonts w:hint="default"/>
        </w:rPr>
      </w:pPr>
    </w:p>
    <w:p w14:paraId="27761AAD">
      <w:pPr>
        <w:rPr>
          <w:rFonts w:hint="default"/>
        </w:rPr>
      </w:pPr>
      <w:r>
        <w:rPr>
          <w:rFonts w:hint="default"/>
        </w:rPr>
        <w:t>The Platform does not guarantee uninterrupted or error-free operation.</w:t>
      </w:r>
    </w:p>
    <w:p w14:paraId="73CA9863">
      <w:pPr>
        <w:rPr>
          <w:rFonts w:hint="default"/>
        </w:rPr>
      </w:pPr>
    </w:p>
    <w:p w14:paraId="74B13EAF">
      <w:pPr>
        <w:rPr>
          <w:rFonts w:hint="default"/>
        </w:rPr>
      </w:pPr>
      <w:r>
        <w:rPr>
          <w:rFonts w:hint="default"/>
        </w:rPr>
        <w:t>⸻</w:t>
      </w:r>
    </w:p>
    <w:p w14:paraId="1DFC0077">
      <w:pPr>
        <w:rPr>
          <w:rFonts w:hint="default"/>
        </w:rPr>
      </w:pPr>
    </w:p>
    <w:p w14:paraId="50BD855D">
      <w:pPr>
        <w:rPr>
          <w:rFonts w:hint="default"/>
        </w:rPr>
      </w:pPr>
      <w:r>
        <w:rPr>
          <w:rFonts w:hint="default"/>
        </w:rPr>
        <w:t>7. Payment and Foreign Exchange Risk</w:t>
      </w:r>
    </w:p>
    <w:p w14:paraId="4F28BFA4">
      <w:pPr>
        <w:rPr>
          <w:rFonts w:hint="default"/>
        </w:rPr>
      </w:pPr>
    </w:p>
    <w:p w14:paraId="7C2139B2">
      <w:pPr>
        <w:rPr>
          <w:rFonts w:hint="default"/>
        </w:rPr>
      </w:pPr>
      <w:r>
        <w:rPr>
          <w:rFonts w:hint="default"/>
        </w:rPr>
        <w:t>Transactions involving cross-border or multi-currency payments may be subject to:</w:t>
      </w:r>
    </w:p>
    <w:p w14:paraId="5D36F265">
      <w:pPr>
        <w:rPr>
          <w:rFonts w:hint="default"/>
        </w:rPr>
      </w:pPr>
      <w:r>
        <w:rPr>
          <w:rFonts w:hint="default"/>
        </w:rPr>
        <w:tab/>
      </w:r>
      <w:r>
        <w:rPr>
          <w:rFonts w:hint="default"/>
        </w:rPr>
        <w:t>•</w:t>
      </w:r>
      <w:r>
        <w:rPr>
          <w:rFonts w:hint="default"/>
        </w:rPr>
        <w:tab/>
      </w:r>
      <w:r>
        <w:rPr>
          <w:rFonts w:hint="default"/>
        </w:rPr>
        <w:t>Exchange rate fluctuations</w:t>
      </w:r>
    </w:p>
    <w:p w14:paraId="4732A08A">
      <w:pPr>
        <w:rPr>
          <w:rFonts w:hint="default"/>
        </w:rPr>
      </w:pPr>
      <w:r>
        <w:rPr>
          <w:rFonts w:hint="default"/>
        </w:rPr>
        <w:tab/>
      </w:r>
      <w:r>
        <w:rPr>
          <w:rFonts w:hint="default"/>
        </w:rPr>
        <w:t>•</w:t>
      </w:r>
      <w:r>
        <w:rPr>
          <w:rFonts w:hint="default"/>
        </w:rPr>
        <w:tab/>
      </w:r>
      <w:r>
        <w:rPr>
          <w:rFonts w:hint="default"/>
        </w:rPr>
        <w:t>Payment processing delays</w:t>
      </w:r>
    </w:p>
    <w:p w14:paraId="22CEF6D1">
      <w:pPr>
        <w:rPr>
          <w:rFonts w:hint="default"/>
        </w:rPr>
      </w:pPr>
      <w:r>
        <w:rPr>
          <w:rFonts w:hint="default"/>
        </w:rPr>
        <w:tab/>
      </w:r>
      <w:r>
        <w:rPr>
          <w:rFonts w:hint="default"/>
        </w:rPr>
        <w:t>•</w:t>
      </w:r>
      <w:r>
        <w:rPr>
          <w:rFonts w:hint="default"/>
        </w:rPr>
        <w:tab/>
      </w:r>
      <w:r>
        <w:rPr>
          <w:rFonts w:hint="default"/>
        </w:rPr>
        <w:t>Third-party processing risks</w:t>
      </w:r>
    </w:p>
    <w:p w14:paraId="464FC2C7">
      <w:pPr>
        <w:rPr>
          <w:rFonts w:hint="default"/>
        </w:rPr>
      </w:pPr>
    </w:p>
    <w:p w14:paraId="60C6E07D">
      <w:pPr>
        <w:rPr>
          <w:rFonts w:hint="default"/>
        </w:rPr>
      </w:pPr>
      <w:r>
        <w:rPr>
          <w:rFonts w:hint="default"/>
        </w:rPr>
        <w:t>Such risks shall be borne by the user.</w:t>
      </w:r>
    </w:p>
    <w:p w14:paraId="14DB655B">
      <w:pPr>
        <w:rPr>
          <w:rFonts w:hint="default"/>
        </w:rPr>
      </w:pPr>
    </w:p>
    <w:p w14:paraId="6451DF24">
      <w:pPr>
        <w:rPr>
          <w:rFonts w:hint="default"/>
        </w:rPr>
      </w:pPr>
      <w:r>
        <w:rPr>
          <w:rFonts w:hint="default"/>
        </w:rPr>
        <w:t>⸻</w:t>
      </w:r>
    </w:p>
    <w:p w14:paraId="30766EE7">
      <w:pPr>
        <w:rPr>
          <w:rFonts w:hint="default"/>
        </w:rPr>
      </w:pPr>
    </w:p>
    <w:p w14:paraId="27A3F03E">
      <w:pPr>
        <w:rPr>
          <w:rFonts w:hint="default"/>
        </w:rPr>
      </w:pPr>
      <w:r>
        <w:rPr>
          <w:rFonts w:hint="default"/>
        </w:rPr>
        <w:t>8. No Investment Advice</w:t>
      </w:r>
    </w:p>
    <w:p w14:paraId="3B7A102D">
      <w:pPr>
        <w:rPr>
          <w:rFonts w:hint="default"/>
        </w:rPr>
      </w:pPr>
    </w:p>
    <w:p w14:paraId="52820104">
      <w:pPr>
        <w:rPr>
          <w:rFonts w:hint="default"/>
        </w:rPr>
      </w:pPr>
      <w:r>
        <w:rPr>
          <w:rFonts w:hint="default"/>
        </w:rPr>
        <w:t>Information published on the Platform does not constitute:</w:t>
      </w:r>
    </w:p>
    <w:p w14:paraId="05B0F91F">
      <w:pPr>
        <w:rPr>
          <w:rFonts w:hint="default"/>
        </w:rPr>
      </w:pPr>
      <w:r>
        <w:rPr>
          <w:rFonts w:hint="default"/>
        </w:rPr>
        <w:tab/>
      </w:r>
      <w:r>
        <w:rPr>
          <w:rFonts w:hint="default"/>
        </w:rPr>
        <w:t>•</w:t>
      </w:r>
      <w:r>
        <w:rPr>
          <w:rFonts w:hint="default"/>
        </w:rPr>
        <w:tab/>
      </w:r>
      <w:r>
        <w:rPr>
          <w:rFonts w:hint="default"/>
        </w:rPr>
        <w:t>Investment advice</w:t>
      </w:r>
    </w:p>
    <w:p w14:paraId="7628E7C7">
      <w:pPr>
        <w:rPr>
          <w:rFonts w:hint="default"/>
        </w:rPr>
      </w:pPr>
      <w:r>
        <w:rPr>
          <w:rFonts w:hint="default"/>
        </w:rPr>
        <w:tab/>
      </w:r>
      <w:r>
        <w:rPr>
          <w:rFonts w:hint="default"/>
        </w:rPr>
        <w:t>•</w:t>
      </w:r>
      <w:r>
        <w:rPr>
          <w:rFonts w:hint="default"/>
        </w:rPr>
        <w:tab/>
      </w:r>
      <w:r>
        <w:rPr>
          <w:rFonts w:hint="default"/>
        </w:rPr>
        <w:t>Financial advice</w:t>
      </w:r>
    </w:p>
    <w:p w14:paraId="5B680C91">
      <w:pPr>
        <w:rPr>
          <w:rFonts w:hint="default"/>
        </w:rPr>
      </w:pPr>
      <w:r>
        <w:rPr>
          <w:rFonts w:hint="default"/>
        </w:rPr>
        <w:tab/>
      </w:r>
      <w:r>
        <w:rPr>
          <w:rFonts w:hint="default"/>
        </w:rPr>
        <w:t>•</w:t>
      </w:r>
      <w:r>
        <w:rPr>
          <w:rFonts w:hint="default"/>
        </w:rPr>
        <w:tab/>
      </w:r>
      <w:r>
        <w:rPr>
          <w:rFonts w:hint="default"/>
        </w:rPr>
        <w:t>Legal advice</w:t>
      </w:r>
    </w:p>
    <w:p w14:paraId="2083FDF1">
      <w:pPr>
        <w:rPr>
          <w:rFonts w:hint="default"/>
        </w:rPr>
      </w:pPr>
      <w:r>
        <w:rPr>
          <w:rFonts w:hint="default"/>
        </w:rPr>
        <w:tab/>
      </w:r>
      <w:r>
        <w:rPr>
          <w:rFonts w:hint="default"/>
        </w:rPr>
        <w:t>•</w:t>
      </w:r>
      <w:r>
        <w:rPr>
          <w:rFonts w:hint="default"/>
        </w:rPr>
        <w:tab/>
      </w:r>
      <w:r>
        <w:rPr>
          <w:rFonts w:hint="default"/>
        </w:rPr>
        <w:t>Tax advice</w:t>
      </w:r>
    </w:p>
    <w:p w14:paraId="60768D16">
      <w:pPr>
        <w:rPr>
          <w:rFonts w:hint="default"/>
        </w:rPr>
      </w:pPr>
    </w:p>
    <w:p w14:paraId="516BD057">
      <w:pPr>
        <w:rPr>
          <w:rFonts w:hint="default"/>
        </w:rPr>
      </w:pPr>
      <w:r>
        <w:rPr>
          <w:rFonts w:hint="default"/>
        </w:rPr>
        <w:t>Users are encouraged to consult independent professional advisors before making financial or legal decisions.</w:t>
      </w:r>
    </w:p>
    <w:p w14:paraId="44D85B97">
      <w:pPr>
        <w:rPr>
          <w:rFonts w:hint="default"/>
        </w:rPr>
      </w:pPr>
    </w:p>
    <w:p w14:paraId="04F64CE9">
      <w:pPr>
        <w:rPr>
          <w:rFonts w:hint="default"/>
        </w:rPr>
      </w:pPr>
      <w:r>
        <w:rPr>
          <w:rFonts w:hint="default"/>
        </w:rPr>
        <w:t>⸻</w:t>
      </w:r>
    </w:p>
    <w:p w14:paraId="55B118FC">
      <w:pPr>
        <w:rPr>
          <w:rFonts w:hint="default"/>
        </w:rPr>
      </w:pPr>
    </w:p>
    <w:p w14:paraId="7E25E401">
      <w:pPr>
        <w:rPr>
          <w:rFonts w:hint="default"/>
        </w:rPr>
      </w:pPr>
      <w:r>
        <w:rPr>
          <w:rFonts w:hint="default"/>
        </w:rPr>
        <w:t>9. Limitation of Liability</w:t>
      </w:r>
    </w:p>
    <w:p w14:paraId="0B382362">
      <w:pPr>
        <w:rPr>
          <w:rFonts w:hint="default"/>
        </w:rPr>
      </w:pPr>
    </w:p>
    <w:p w14:paraId="79A65983">
      <w:pPr>
        <w:rPr>
          <w:rFonts w:hint="default"/>
        </w:rPr>
      </w:pPr>
      <w:r>
        <w:rPr>
          <w:rFonts w:hint="default"/>
        </w:rPr>
        <w:t>To the fullest extent permitted by applicable law:</w:t>
      </w:r>
    </w:p>
    <w:p w14:paraId="0252DDFB">
      <w:pPr>
        <w:rPr>
          <w:rFonts w:hint="default"/>
        </w:rPr>
      </w:pPr>
      <w:r>
        <w:rPr>
          <w:rFonts w:hint="default"/>
        </w:rPr>
        <w:tab/>
      </w:r>
      <w:r>
        <w:rPr>
          <w:rFonts w:hint="default"/>
        </w:rPr>
        <w:t>•</w:t>
      </w:r>
      <w:r>
        <w:rPr>
          <w:rFonts w:hint="default"/>
        </w:rPr>
        <w:tab/>
      </w:r>
      <w:r>
        <w:rPr>
          <w:rFonts w:hint="default"/>
        </w:rPr>
        <w:t>HUASHANG FOUNDATION shall not be liable for indirect, incidental, or consequential damages;</w:t>
      </w:r>
    </w:p>
    <w:p w14:paraId="67EEF66E">
      <w:pPr>
        <w:rPr>
          <w:rFonts w:hint="default"/>
        </w:rPr>
      </w:pPr>
      <w:r>
        <w:rPr>
          <w:rFonts w:hint="default"/>
        </w:rPr>
        <w:tab/>
      </w:r>
      <w:r>
        <w:rPr>
          <w:rFonts w:hint="default"/>
        </w:rPr>
        <w:t>•</w:t>
      </w:r>
      <w:r>
        <w:rPr>
          <w:rFonts w:hint="default"/>
        </w:rPr>
        <w:tab/>
      </w:r>
      <w:r>
        <w:rPr>
          <w:rFonts w:hint="default"/>
        </w:rPr>
        <w:t>The Platform is not responsible for losses arising from market volatility, regulatory changes, or third-party service failures;</w:t>
      </w:r>
    </w:p>
    <w:p w14:paraId="47BDED8B">
      <w:pPr>
        <w:rPr>
          <w:rFonts w:hint="default"/>
        </w:rPr>
      </w:pPr>
      <w:r>
        <w:rPr>
          <w:rFonts w:hint="default"/>
        </w:rPr>
        <w:tab/>
      </w:r>
      <w:r>
        <w:rPr>
          <w:rFonts w:hint="default"/>
        </w:rPr>
        <w:t>•</w:t>
      </w:r>
      <w:r>
        <w:rPr>
          <w:rFonts w:hint="default"/>
        </w:rPr>
        <w:tab/>
      </w:r>
      <w:r>
        <w:rPr>
          <w:rFonts w:hint="default"/>
        </w:rPr>
        <w:t>Users assume full responsibility for their decisions and actions.</w:t>
      </w:r>
    </w:p>
    <w:p w14:paraId="15C0B2F8">
      <w:pPr>
        <w:rPr>
          <w:rFonts w:hint="default"/>
        </w:rPr>
      </w:pPr>
    </w:p>
    <w:p w14:paraId="08A9B841">
      <w:pPr>
        <w:rPr>
          <w:rFonts w:hint="default"/>
        </w:rPr>
      </w:pPr>
      <w:r>
        <w:rPr>
          <w:rFonts w:hint="default"/>
        </w:rPr>
        <w:t>⸻</w:t>
      </w:r>
    </w:p>
    <w:p w14:paraId="6BE71BCB">
      <w:pPr>
        <w:rPr>
          <w:rFonts w:hint="default"/>
        </w:rPr>
      </w:pPr>
    </w:p>
    <w:p w14:paraId="7C87DEB1">
      <w:pPr>
        <w:rPr>
          <w:rFonts w:hint="default"/>
        </w:rPr>
      </w:pPr>
      <w:r>
        <w:rPr>
          <w:rFonts w:hint="default"/>
        </w:rPr>
        <w:t>10. Cooperation with Authorities</w:t>
      </w:r>
    </w:p>
    <w:p w14:paraId="6408661C">
      <w:pPr>
        <w:rPr>
          <w:rFonts w:hint="default"/>
        </w:rPr>
      </w:pPr>
    </w:p>
    <w:p w14:paraId="1C094BA7">
      <w:pPr>
        <w:rPr>
          <w:rFonts w:hint="default"/>
        </w:rPr>
      </w:pPr>
      <w:r>
        <w:rPr>
          <w:rFonts w:hint="default"/>
        </w:rPr>
        <w:t>HUASHANG FOUNDATION may cooperate with regulatory and law enforcement authorities where required by law.</w:t>
      </w:r>
    </w:p>
    <w:p w14:paraId="44FEFE85">
      <w:pPr>
        <w:rPr>
          <w:rFonts w:hint="default"/>
        </w:rPr>
      </w:pPr>
    </w:p>
    <w:p w14:paraId="7BFE6810">
      <w:pPr>
        <w:rPr>
          <w:rFonts w:hint="default"/>
        </w:rPr>
      </w:pPr>
      <w:r>
        <w:rPr>
          <w:rFonts w:hint="default"/>
        </w:rPr>
        <w:t>The Platform is intended solely for lawful use.</w:t>
      </w:r>
    </w:p>
    <w:p w14:paraId="6F8348CC">
      <w:pPr>
        <w:rPr>
          <w:rFonts w:hint="default"/>
        </w:rPr>
      </w:pPr>
    </w:p>
    <w:p w14:paraId="4BD8A5C3">
      <w:pPr>
        <w:rPr>
          <w:rFonts w:hint="default"/>
        </w:rPr>
      </w:pPr>
      <w:r>
        <w:rPr>
          <w:rFonts w:hint="default"/>
        </w:rPr>
        <w:t>⸻</w:t>
      </w:r>
    </w:p>
    <w:p w14:paraId="0F89738D">
      <w:pPr>
        <w:rPr>
          <w:rFonts w:hint="default"/>
        </w:rPr>
      </w:pPr>
    </w:p>
    <w:p w14:paraId="6E108558">
      <w:pPr>
        <w:rPr>
          <w:rFonts w:hint="default"/>
        </w:rPr>
      </w:pPr>
      <w:r>
        <w:rPr>
          <w:rFonts w:hint="default"/>
        </w:rPr>
        <w:t>11. Language</w:t>
      </w:r>
    </w:p>
    <w:p w14:paraId="3C544C2F">
      <w:pPr>
        <w:rPr>
          <w:rFonts w:hint="default"/>
        </w:rPr>
      </w:pPr>
    </w:p>
    <w:p w14:paraId="44EE7EB5">
      <w:pPr>
        <w:rPr>
          <w:rFonts w:hint="default"/>
        </w:rPr>
      </w:pPr>
      <w:r>
        <w:rPr>
          <w:rFonts w:hint="default"/>
        </w:rPr>
        <w:t>This Statement may be published in multiple languages.</w:t>
      </w:r>
    </w:p>
    <w:p w14:paraId="3F1D4860">
      <w:pPr>
        <w:rPr>
          <w:rFonts w:hint="default"/>
        </w:rPr>
      </w:pPr>
      <w:r>
        <w:rPr>
          <w:rFonts w:hint="default"/>
        </w:rPr>
        <w:t>In the event of inconsistency, the English version shall prevail.</w:t>
      </w:r>
    </w:p>
    <w:p w14:paraId="27586958">
      <w:pPr>
        <w:rPr>
          <w:rFonts w:hint="default"/>
        </w:rPr>
      </w:pPr>
    </w:p>
    <w:p w14:paraId="520317CB">
      <w:pPr>
        <w:rPr>
          <w:rFonts w:hint="default"/>
        </w:rPr>
      </w:pPr>
      <w:r>
        <w:rPr>
          <w:rFonts w:hint="default"/>
        </w:rPr>
        <w:t>⸻</w:t>
      </w:r>
    </w:p>
    <w:p w14:paraId="09301106">
      <w:pPr>
        <w:rPr>
          <w:rFonts w:hint="default"/>
        </w:rPr>
      </w:pPr>
      <w:r>
        <w:rPr>
          <w:rFonts w:hint="default"/>
        </w:rPr>
        <w:t>HUASHANG FOUNDATION</w:t>
      </w:r>
    </w:p>
    <w:p w14:paraId="14AC0578">
      <w:pPr>
        <w:rPr>
          <w:rFonts w:hint="default"/>
        </w:rPr>
      </w:pPr>
    </w:p>
    <w:p w14:paraId="6CE04678">
      <w:pPr>
        <w:rPr>
          <w:rFonts w:hint="default"/>
        </w:rPr>
      </w:pPr>
      <w:r>
        <w:rPr>
          <w:rFonts w:hint="default"/>
        </w:rPr>
        <w:t>风险披露与免责声明</w:t>
      </w:r>
    </w:p>
    <w:p w14:paraId="33904DE7">
      <w:pPr>
        <w:rPr>
          <w:rFonts w:hint="default"/>
        </w:rPr>
      </w:pPr>
    </w:p>
    <w:p w14:paraId="5EF5AB15">
      <w:pPr>
        <w:rPr>
          <w:rFonts w:hint="default"/>
        </w:rPr>
      </w:pPr>
      <w:r>
        <w:rPr>
          <w:rFonts w:hint="default"/>
        </w:rPr>
        <w:t>发布于：2021年5月25日</w:t>
      </w:r>
    </w:p>
    <w:p w14:paraId="244EC40A">
      <w:pPr>
        <w:rPr>
          <w:rFonts w:hint="default"/>
        </w:rPr>
      </w:pPr>
      <w:r>
        <w:rPr>
          <w:rFonts w:hint="default"/>
        </w:rPr>
        <w:t>最近更新时间：2025年10月3日</w:t>
      </w:r>
    </w:p>
    <w:p w14:paraId="3F307A43">
      <w:pPr>
        <w:rPr>
          <w:rFonts w:hint="default"/>
        </w:rPr>
      </w:pPr>
    </w:p>
    <w:p w14:paraId="61BD6457">
      <w:pPr>
        <w:rPr>
          <w:rFonts w:hint="default"/>
        </w:rPr>
      </w:pPr>
      <w:r>
        <w:rPr>
          <w:rFonts w:hint="default"/>
        </w:rPr>
        <w:t>本《风险披露与免责声明》（以下简称“本声明”）应与《HUASHANG FOUNDATION 会员服务条款》（以下简称“服务条款”）一并阅读。除非本文另有定义，本声明中所使用的术语与服务条款具有相同含义。</w:t>
      </w:r>
    </w:p>
    <w:p w14:paraId="69D9170A">
      <w:pPr>
        <w:rPr>
          <w:rFonts w:hint="default"/>
        </w:rPr>
      </w:pPr>
    </w:p>
    <w:p w14:paraId="267B191D">
      <w:pPr>
        <w:rPr>
          <w:rFonts w:hint="default"/>
        </w:rPr>
      </w:pPr>
      <w:r>
        <w:rPr>
          <w:rFonts w:hint="default"/>
        </w:rPr>
        <w:t>本声明旨在帮助您充分理解在华商基金会会员平台参与相关服务时可能涉及的重要风险及合规事项。</w:t>
      </w:r>
    </w:p>
    <w:p w14:paraId="4981308F">
      <w:pPr>
        <w:rPr>
          <w:rFonts w:hint="default"/>
        </w:rPr>
      </w:pPr>
    </w:p>
    <w:p w14:paraId="13BBFFA8">
      <w:pPr>
        <w:rPr>
          <w:rFonts w:hint="default"/>
        </w:rPr>
      </w:pPr>
      <w:r>
        <w:rPr>
          <w:rFonts w:hint="default"/>
        </w:rPr>
        <w:t>⸻</w:t>
      </w:r>
    </w:p>
    <w:p w14:paraId="53D75FC5">
      <w:pPr>
        <w:rPr>
          <w:rFonts w:hint="default"/>
        </w:rPr>
      </w:pPr>
    </w:p>
    <w:p w14:paraId="3008898C">
      <w:pPr>
        <w:rPr>
          <w:rFonts w:hint="default"/>
        </w:rPr>
      </w:pPr>
      <w:r>
        <w:rPr>
          <w:rFonts w:hint="default"/>
        </w:rPr>
        <w:t>1. 目的</w:t>
      </w:r>
    </w:p>
    <w:p w14:paraId="77F59C64">
      <w:pPr>
        <w:rPr>
          <w:rFonts w:hint="default"/>
        </w:rPr>
      </w:pPr>
    </w:p>
    <w:p w14:paraId="1BD531AC">
      <w:pPr>
        <w:rPr>
          <w:rFonts w:hint="default"/>
        </w:rPr>
      </w:pPr>
      <w:r>
        <w:rPr>
          <w:rFonts w:hint="default"/>
        </w:rPr>
        <w:t>为维护一个健全、透明、合规的会员平台，华商基金会建立并实施反洗钱（AML）、反恐怖主义融资（CFT）以及贸易与经济制裁合规体系（统称“合规体系”）。</w:t>
      </w:r>
    </w:p>
    <w:p w14:paraId="0F6AD55F">
      <w:pPr>
        <w:rPr>
          <w:rFonts w:hint="default"/>
        </w:rPr>
      </w:pPr>
    </w:p>
    <w:p w14:paraId="000142C1">
      <w:pPr>
        <w:rPr>
          <w:rFonts w:hint="default"/>
        </w:rPr>
      </w:pPr>
      <w:r>
        <w:rPr>
          <w:rFonts w:hint="default"/>
        </w:rPr>
        <w:t>我们致力于：</w:t>
      </w:r>
    </w:p>
    <w:p w14:paraId="7EBD7784">
      <w:pPr>
        <w:rPr>
          <w:rFonts w:hint="default"/>
        </w:rPr>
      </w:pPr>
      <w:r>
        <w:rPr>
          <w:rFonts w:hint="default"/>
        </w:rPr>
        <w:tab/>
      </w:r>
      <w:r>
        <w:rPr>
          <w:rFonts w:hint="default"/>
        </w:rPr>
        <w:t>•</w:t>
      </w:r>
      <w:r>
        <w:rPr>
          <w:rFonts w:hint="default"/>
        </w:rPr>
        <w:tab/>
      </w:r>
      <w:r>
        <w:rPr>
          <w:rFonts w:hint="default"/>
        </w:rPr>
        <w:t>推动合法、透明的商业活动</w:t>
      </w:r>
    </w:p>
    <w:p w14:paraId="6E6644F6">
      <w:pPr>
        <w:rPr>
          <w:rFonts w:hint="default"/>
        </w:rPr>
      </w:pPr>
      <w:r>
        <w:rPr>
          <w:rFonts w:hint="default"/>
        </w:rPr>
        <w:tab/>
      </w:r>
      <w:r>
        <w:rPr>
          <w:rFonts w:hint="default"/>
        </w:rPr>
        <w:t>•</w:t>
      </w:r>
      <w:r>
        <w:rPr>
          <w:rFonts w:hint="default"/>
        </w:rPr>
        <w:tab/>
      </w:r>
      <w:r>
        <w:rPr>
          <w:rFonts w:hint="default"/>
        </w:rPr>
        <w:t>保护会员与合作机构利益</w:t>
      </w:r>
    </w:p>
    <w:p w14:paraId="2DF42D1A">
      <w:pPr>
        <w:rPr>
          <w:rFonts w:hint="default"/>
        </w:rPr>
      </w:pPr>
      <w:r>
        <w:rPr>
          <w:rFonts w:hint="default"/>
        </w:rPr>
        <w:tab/>
      </w:r>
      <w:r>
        <w:rPr>
          <w:rFonts w:hint="default"/>
        </w:rPr>
        <w:t>•</w:t>
      </w:r>
      <w:r>
        <w:rPr>
          <w:rFonts w:hint="default"/>
        </w:rPr>
        <w:tab/>
      </w:r>
      <w:r>
        <w:rPr>
          <w:rFonts w:hint="default"/>
        </w:rPr>
        <w:t>遵守适用法律法规</w:t>
      </w:r>
    </w:p>
    <w:p w14:paraId="660C7139">
      <w:pPr>
        <w:rPr>
          <w:rFonts w:hint="default"/>
        </w:rPr>
      </w:pPr>
      <w:r>
        <w:rPr>
          <w:rFonts w:hint="default"/>
        </w:rPr>
        <w:tab/>
      </w:r>
      <w:r>
        <w:rPr>
          <w:rFonts w:hint="default"/>
        </w:rPr>
        <w:t>•</w:t>
      </w:r>
      <w:r>
        <w:rPr>
          <w:rFonts w:hint="default"/>
        </w:rPr>
        <w:tab/>
      </w:r>
      <w:r>
        <w:rPr>
          <w:rFonts w:hint="default"/>
        </w:rPr>
        <w:t>维护良好的市场声誉</w:t>
      </w:r>
    </w:p>
    <w:p w14:paraId="4C6F4D50">
      <w:pPr>
        <w:rPr>
          <w:rFonts w:hint="default"/>
        </w:rPr>
      </w:pPr>
    </w:p>
    <w:p w14:paraId="2F371FB8">
      <w:pPr>
        <w:rPr>
          <w:rFonts w:hint="default"/>
        </w:rPr>
      </w:pPr>
      <w:r>
        <w:rPr>
          <w:rFonts w:hint="default"/>
        </w:rPr>
        <w:t>⸻</w:t>
      </w:r>
    </w:p>
    <w:p w14:paraId="2C4693EA">
      <w:pPr>
        <w:rPr>
          <w:rFonts w:hint="default"/>
        </w:rPr>
      </w:pPr>
    </w:p>
    <w:p w14:paraId="186FDBED">
      <w:pPr>
        <w:rPr>
          <w:rFonts w:hint="default"/>
        </w:rPr>
      </w:pPr>
      <w:r>
        <w:rPr>
          <w:rFonts w:hint="default"/>
        </w:rPr>
        <w:t>2. 业务模式说明</w:t>
      </w:r>
    </w:p>
    <w:p w14:paraId="07F69774">
      <w:pPr>
        <w:rPr>
          <w:rFonts w:hint="default"/>
        </w:rPr>
      </w:pPr>
    </w:p>
    <w:p w14:paraId="475D2137">
      <w:pPr>
        <w:rPr>
          <w:rFonts w:hint="default"/>
        </w:rPr>
      </w:pPr>
      <w:r>
        <w:rPr>
          <w:rFonts w:hint="default"/>
        </w:rPr>
        <w:t>华商基金会为全球华商会员制服务平台，提供：</w:t>
      </w:r>
    </w:p>
    <w:p w14:paraId="14CCF7C2">
      <w:pPr>
        <w:rPr>
          <w:rFonts w:hint="default"/>
        </w:rPr>
      </w:pPr>
      <w:r>
        <w:rPr>
          <w:rFonts w:hint="default"/>
        </w:rPr>
        <w:tab/>
      </w:r>
      <w:r>
        <w:rPr>
          <w:rFonts w:hint="default"/>
        </w:rPr>
        <w:t>•</w:t>
      </w:r>
      <w:r>
        <w:rPr>
          <w:rFonts w:hint="default"/>
        </w:rPr>
        <w:tab/>
      </w:r>
      <w:r>
        <w:rPr>
          <w:rFonts w:hint="default"/>
        </w:rPr>
        <w:t>会员权益服务</w:t>
      </w:r>
    </w:p>
    <w:p w14:paraId="13BF89ED">
      <w:pPr>
        <w:rPr>
          <w:rFonts w:hint="default"/>
        </w:rPr>
      </w:pPr>
      <w:r>
        <w:rPr>
          <w:rFonts w:hint="default"/>
        </w:rPr>
        <w:tab/>
      </w:r>
      <w:r>
        <w:rPr>
          <w:rFonts w:hint="default"/>
        </w:rPr>
        <w:t>•</w:t>
      </w:r>
      <w:r>
        <w:rPr>
          <w:rFonts w:hint="default"/>
        </w:rPr>
        <w:tab/>
      </w:r>
      <w:r>
        <w:rPr>
          <w:rFonts w:hint="default"/>
        </w:rPr>
        <w:t>信息发布与资源对接</w:t>
      </w:r>
    </w:p>
    <w:p w14:paraId="02FCD8DE">
      <w:pPr>
        <w:rPr>
          <w:rFonts w:hint="default"/>
        </w:rPr>
      </w:pPr>
      <w:r>
        <w:rPr>
          <w:rFonts w:hint="default"/>
        </w:rPr>
        <w:tab/>
      </w:r>
      <w:r>
        <w:rPr>
          <w:rFonts w:hint="default"/>
        </w:rPr>
        <w:t>•</w:t>
      </w:r>
      <w:r>
        <w:rPr>
          <w:rFonts w:hint="default"/>
        </w:rPr>
        <w:tab/>
      </w:r>
      <w:r>
        <w:rPr>
          <w:rFonts w:hint="default"/>
        </w:rPr>
        <w:t>技术支持</w:t>
      </w:r>
    </w:p>
    <w:p w14:paraId="001D10A4">
      <w:pPr>
        <w:rPr>
          <w:rFonts w:hint="default"/>
        </w:rPr>
      </w:pPr>
      <w:r>
        <w:rPr>
          <w:rFonts w:hint="default"/>
        </w:rPr>
        <w:tab/>
      </w:r>
      <w:r>
        <w:rPr>
          <w:rFonts w:hint="default"/>
        </w:rPr>
        <w:t>•</w:t>
      </w:r>
      <w:r>
        <w:rPr>
          <w:rFonts w:hint="default"/>
        </w:rPr>
        <w:tab/>
      </w:r>
      <w:r>
        <w:rPr>
          <w:rFonts w:hint="default"/>
        </w:rPr>
        <w:t>活动及项目协调</w:t>
      </w:r>
    </w:p>
    <w:p w14:paraId="5F92C405">
      <w:pPr>
        <w:rPr>
          <w:rFonts w:hint="default"/>
        </w:rPr>
      </w:pPr>
    </w:p>
    <w:p w14:paraId="79F10859">
      <w:pPr>
        <w:rPr>
          <w:rFonts w:hint="default"/>
        </w:rPr>
      </w:pPr>
      <w:r>
        <w:rPr>
          <w:rFonts w:hint="default"/>
        </w:rPr>
        <w:t>除非另有书面协议明确约定，平台</w:t>
      </w:r>
      <w:r>
        <w:rPr>
          <w:rFonts w:hint="eastAsia"/>
          <w:lang w:val="en-US" w:eastAsia="zh-CN"/>
        </w:rPr>
        <w:t>不</w:t>
      </w:r>
      <w:r>
        <w:rPr>
          <w:rFonts w:hint="default"/>
        </w:rPr>
        <w:t>提供</w:t>
      </w:r>
      <w:r>
        <w:rPr>
          <w:rFonts w:hint="eastAsia"/>
          <w:lang w:val="en-US" w:eastAsia="zh-CN"/>
        </w:rPr>
        <w:t>已合作之外的任何</w:t>
      </w:r>
      <w:r>
        <w:rPr>
          <w:rFonts w:hint="default"/>
        </w:rPr>
        <w:t>：</w:t>
      </w:r>
    </w:p>
    <w:p w14:paraId="041BB5E6">
      <w:pPr>
        <w:rPr>
          <w:rFonts w:hint="default"/>
        </w:rPr>
      </w:pPr>
      <w:r>
        <w:rPr>
          <w:rFonts w:hint="default"/>
        </w:rPr>
        <w:tab/>
      </w:r>
      <w:r>
        <w:rPr>
          <w:rFonts w:hint="default"/>
        </w:rPr>
        <w:t>•</w:t>
      </w:r>
      <w:r>
        <w:rPr>
          <w:rFonts w:hint="default"/>
        </w:rPr>
        <w:tab/>
      </w:r>
      <w:r>
        <w:rPr>
          <w:rFonts w:hint="default"/>
        </w:rPr>
        <w:t>银行存款服务</w:t>
      </w:r>
    </w:p>
    <w:p w14:paraId="1CAD2D02">
      <w:pPr>
        <w:rPr>
          <w:rFonts w:hint="default"/>
        </w:rPr>
      </w:pPr>
      <w:r>
        <w:rPr>
          <w:rFonts w:hint="default"/>
        </w:rPr>
        <w:tab/>
      </w:r>
      <w:r>
        <w:rPr>
          <w:rFonts w:hint="default"/>
        </w:rPr>
        <w:t>•</w:t>
      </w:r>
      <w:r>
        <w:rPr>
          <w:rFonts w:hint="default"/>
        </w:rPr>
        <w:tab/>
      </w:r>
      <w:r>
        <w:rPr>
          <w:rFonts w:hint="default"/>
        </w:rPr>
        <w:t>证券经纪服务</w:t>
      </w:r>
    </w:p>
    <w:p w14:paraId="1B4744C8">
      <w:pPr>
        <w:rPr>
          <w:rFonts w:hint="default"/>
        </w:rPr>
      </w:pPr>
      <w:r>
        <w:rPr>
          <w:rFonts w:hint="default"/>
        </w:rPr>
        <w:tab/>
      </w:r>
      <w:r>
        <w:rPr>
          <w:rFonts w:hint="default"/>
        </w:rPr>
        <w:t>•</w:t>
      </w:r>
      <w:r>
        <w:rPr>
          <w:rFonts w:hint="default"/>
        </w:rPr>
        <w:tab/>
      </w:r>
      <w:r>
        <w:rPr>
          <w:rFonts w:hint="default"/>
        </w:rPr>
        <w:t>投资顾问服务</w:t>
      </w:r>
    </w:p>
    <w:p w14:paraId="1FE23A1A">
      <w:pPr>
        <w:rPr>
          <w:rFonts w:hint="default"/>
        </w:rPr>
      </w:pPr>
      <w:r>
        <w:rPr>
          <w:rFonts w:hint="default"/>
        </w:rPr>
        <w:tab/>
      </w:r>
      <w:r>
        <w:rPr>
          <w:rFonts w:hint="default"/>
        </w:rPr>
        <w:t>•</w:t>
      </w:r>
      <w:r>
        <w:rPr>
          <w:rFonts w:hint="default"/>
        </w:rPr>
        <w:tab/>
      </w:r>
      <w:r>
        <w:rPr>
          <w:rFonts w:hint="default"/>
        </w:rPr>
        <w:t>资产管理服务</w:t>
      </w:r>
    </w:p>
    <w:p w14:paraId="6765CFCF">
      <w:pPr>
        <w:rPr>
          <w:rFonts w:hint="default"/>
        </w:rPr>
      </w:pPr>
    </w:p>
    <w:p w14:paraId="1E30E40D">
      <w:pPr>
        <w:rPr>
          <w:rFonts w:hint="default"/>
        </w:rPr>
      </w:pPr>
      <w:r>
        <w:rPr>
          <w:rFonts w:hint="default"/>
        </w:rPr>
        <w:t>风险提示</w:t>
      </w:r>
    </w:p>
    <w:p w14:paraId="5ECF992B">
      <w:pPr>
        <w:rPr>
          <w:rFonts w:hint="default"/>
        </w:rPr>
      </w:pPr>
    </w:p>
    <w:p w14:paraId="68E788A0">
      <w:pPr>
        <w:rPr>
          <w:rFonts w:hint="default"/>
        </w:rPr>
      </w:pPr>
      <w:r>
        <w:rPr>
          <w:rFonts w:hint="default"/>
        </w:rPr>
        <w:t>任何涉及会员之间的交易、项目合作或数字资产服务均存在风险。</w:t>
      </w:r>
    </w:p>
    <w:p w14:paraId="1124A0C0">
      <w:pPr>
        <w:rPr>
          <w:rFonts w:hint="default"/>
        </w:rPr>
      </w:pPr>
      <w:r>
        <w:rPr>
          <w:rFonts w:hint="default"/>
        </w:rPr>
        <w:t>您应根据自身财务状况与风险承受能力谨慎参与。</w:t>
      </w:r>
    </w:p>
    <w:p w14:paraId="1D0830FE">
      <w:pPr>
        <w:rPr>
          <w:rFonts w:hint="default"/>
        </w:rPr>
      </w:pPr>
    </w:p>
    <w:p w14:paraId="0DB33494">
      <w:pPr>
        <w:rPr>
          <w:rFonts w:hint="default"/>
        </w:rPr>
      </w:pPr>
      <w:r>
        <w:rPr>
          <w:rFonts w:hint="default"/>
        </w:rPr>
        <w:t>⸻</w:t>
      </w:r>
    </w:p>
    <w:p w14:paraId="7664B829">
      <w:pPr>
        <w:rPr>
          <w:rFonts w:hint="default"/>
        </w:rPr>
      </w:pPr>
    </w:p>
    <w:p w14:paraId="0A7C328A">
      <w:pPr>
        <w:rPr>
          <w:rFonts w:hint="default"/>
        </w:rPr>
      </w:pPr>
      <w:r>
        <w:rPr>
          <w:rFonts w:hint="default"/>
        </w:rPr>
        <w:t>3. 监管环境说明</w:t>
      </w:r>
    </w:p>
    <w:p w14:paraId="0DA3D352">
      <w:pPr>
        <w:rPr>
          <w:rFonts w:hint="default"/>
        </w:rPr>
      </w:pPr>
    </w:p>
    <w:p w14:paraId="6E0B1349">
      <w:pPr>
        <w:rPr>
          <w:rFonts w:hint="default"/>
        </w:rPr>
      </w:pPr>
      <w:r>
        <w:rPr>
          <w:rFonts w:hint="default"/>
        </w:rPr>
        <w:t>数字资产及相关新型资产在全球范围内的监管框架存在差异。</w:t>
      </w:r>
    </w:p>
    <w:p w14:paraId="12FA3D9F">
      <w:pPr>
        <w:rPr>
          <w:rFonts w:hint="default"/>
        </w:rPr>
      </w:pPr>
      <w:r>
        <w:rPr>
          <w:rFonts w:hint="default"/>
        </w:rPr>
        <w:tab/>
      </w:r>
      <w:r>
        <w:rPr>
          <w:rFonts w:hint="default"/>
        </w:rPr>
        <w:t>•</w:t>
      </w:r>
      <w:r>
        <w:rPr>
          <w:rFonts w:hint="default"/>
        </w:rPr>
        <w:tab/>
      </w:r>
      <w:r>
        <w:rPr>
          <w:rFonts w:hint="default"/>
        </w:rPr>
        <w:t>部分监管机构将其视为可兑换虚拟货币</w:t>
      </w:r>
    </w:p>
    <w:p w14:paraId="2B161999">
      <w:pPr>
        <w:rPr>
          <w:rFonts w:hint="default"/>
        </w:rPr>
      </w:pPr>
      <w:r>
        <w:rPr>
          <w:rFonts w:hint="default"/>
        </w:rPr>
        <w:tab/>
      </w:r>
      <w:r>
        <w:rPr>
          <w:rFonts w:hint="default"/>
        </w:rPr>
        <w:t>•</w:t>
      </w:r>
      <w:r>
        <w:rPr>
          <w:rFonts w:hint="default"/>
        </w:rPr>
        <w:tab/>
      </w:r>
      <w:r>
        <w:rPr>
          <w:rFonts w:hint="default"/>
        </w:rPr>
        <w:t>部分监管机构将其视为虚拟商品或另类资产</w:t>
      </w:r>
    </w:p>
    <w:p w14:paraId="53E56247">
      <w:pPr>
        <w:rPr>
          <w:rFonts w:hint="default"/>
        </w:rPr>
      </w:pPr>
    </w:p>
    <w:p w14:paraId="4F45FE07">
      <w:pPr>
        <w:rPr>
          <w:rFonts w:hint="default"/>
        </w:rPr>
      </w:pPr>
      <w:r>
        <w:rPr>
          <w:rFonts w:hint="default"/>
        </w:rPr>
        <w:t>华商基金会认为数字资产属于创新型另类资产类别，并非：</w:t>
      </w:r>
    </w:p>
    <w:p w14:paraId="14EB2065">
      <w:pPr>
        <w:rPr>
          <w:rFonts w:hint="default"/>
        </w:rPr>
      </w:pPr>
      <w:r>
        <w:rPr>
          <w:rFonts w:hint="default"/>
        </w:rPr>
        <w:tab/>
      </w:r>
      <w:r>
        <w:rPr>
          <w:rFonts w:hint="default"/>
        </w:rPr>
        <w:t>•</w:t>
      </w:r>
      <w:r>
        <w:rPr>
          <w:rFonts w:hint="default"/>
        </w:rPr>
        <w:tab/>
      </w:r>
      <w:r>
        <w:rPr>
          <w:rFonts w:hint="default"/>
        </w:rPr>
        <w:t>法定货币</w:t>
      </w:r>
    </w:p>
    <w:p w14:paraId="07098CDC">
      <w:pPr>
        <w:rPr>
          <w:rFonts w:hint="default"/>
        </w:rPr>
      </w:pPr>
      <w:r>
        <w:rPr>
          <w:rFonts w:hint="default"/>
        </w:rPr>
        <w:tab/>
      </w:r>
      <w:r>
        <w:rPr>
          <w:rFonts w:hint="default"/>
        </w:rPr>
        <w:t>•</w:t>
      </w:r>
      <w:r>
        <w:rPr>
          <w:rFonts w:hint="default"/>
        </w:rPr>
        <w:tab/>
      </w:r>
      <w:r>
        <w:rPr>
          <w:rFonts w:hint="default"/>
        </w:rPr>
        <w:t>政府发行货币</w:t>
      </w:r>
    </w:p>
    <w:p w14:paraId="5CE15A41">
      <w:pPr>
        <w:rPr>
          <w:rFonts w:hint="default"/>
        </w:rPr>
      </w:pPr>
      <w:r>
        <w:rPr>
          <w:rFonts w:hint="default"/>
        </w:rPr>
        <w:tab/>
      </w:r>
      <w:r>
        <w:rPr>
          <w:rFonts w:hint="default"/>
        </w:rPr>
        <w:t>•</w:t>
      </w:r>
      <w:r>
        <w:rPr>
          <w:rFonts w:hint="default"/>
        </w:rPr>
        <w:tab/>
      </w:r>
      <w:r>
        <w:rPr>
          <w:rFonts w:hint="default"/>
        </w:rPr>
        <w:t>受中央银行担保资产</w:t>
      </w:r>
    </w:p>
    <w:p w14:paraId="092A7087">
      <w:pPr>
        <w:rPr>
          <w:rFonts w:hint="default"/>
        </w:rPr>
      </w:pPr>
    </w:p>
    <w:p w14:paraId="6C3F7418">
      <w:pPr>
        <w:rPr>
          <w:rFonts w:hint="default"/>
        </w:rPr>
      </w:pPr>
      <w:r>
        <w:rPr>
          <w:rFonts w:hint="default"/>
        </w:rPr>
        <w:t>风险提示</w:t>
      </w:r>
    </w:p>
    <w:p w14:paraId="61635277">
      <w:pPr>
        <w:rPr>
          <w:rFonts w:hint="default"/>
        </w:rPr>
      </w:pPr>
    </w:p>
    <w:p w14:paraId="709A0ACA">
      <w:pPr>
        <w:rPr>
          <w:rFonts w:hint="default"/>
        </w:rPr>
      </w:pPr>
      <w:r>
        <w:rPr>
          <w:rFonts w:hint="default"/>
        </w:rPr>
        <w:t>数字资产：</w:t>
      </w:r>
    </w:p>
    <w:p w14:paraId="382857E7">
      <w:pPr>
        <w:rPr>
          <w:rFonts w:hint="default"/>
        </w:rPr>
      </w:pPr>
      <w:r>
        <w:rPr>
          <w:rFonts w:hint="default"/>
        </w:rPr>
        <w:tab/>
      </w:r>
      <w:r>
        <w:rPr>
          <w:rFonts w:hint="default"/>
        </w:rPr>
        <w:t>•</w:t>
      </w:r>
      <w:r>
        <w:rPr>
          <w:rFonts w:hint="default"/>
        </w:rPr>
        <w:tab/>
      </w:r>
      <w:r>
        <w:rPr>
          <w:rFonts w:hint="default"/>
        </w:rPr>
        <w:t>不受任何政府或中央银行支持</w:t>
      </w:r>
    </w:p>
    <w:p w14:paraId="5339760B">
      <w:pPr>
        <w:rPr>
          <w:rFonts w:hint="default"/>
        </w:rPr>
      </w:pPr>
      <w:r>
        <w:rPr>
          <w:rFonts w:hint="default"/>
        </w:rPr>
        <w:tab/>
      </w:r>
      <w:r>
        <w:rPr>
          <w:rFonts w:hint="default"/>
        </w:rPr>
        <w:t>•</w:t>
      </w:r>
      <w:r>
        <w:rPr>
          <w:rFonts w:hint="default"/>
        </w:rPr>
        <w:tab/>
      </w:r>
      <w:r>
        <w:rPr>
          <w:rFonts w:hint="default"/>
        </w:rPr>
        <w:t>不享有存款保险保障</w:t>
      </w:r>
    </w:p>
    <w:p w14:paraId="4A4B054D">
      <w:pPr>
        <w:rPr>
          <w:rFonts w:hint="default"/>
        </w:rPr>
      </w:pPr>
      <w:r>
        <w:rPr>
          <w:rFonts w:hint="default"/>
        </w:rPr>
        <w:tab/>
      </w:r>
      <w:r>
        <w:rPr>
          <w:rFonts w:hint="default"/>
        </w:rPr>
        <w:t>•</w:t>
      </w:r>
      <w:r>
        <w:rPr>
          <w:rFonts w:hint="default"/>
        </w:rPr>
        <w:tab/>
      </w:r>
      <w:r>
        <w:rPr>
          <w:rFonts w:hint="default"/>
        </w:rPr>
        <w:t>价格可能剧烈波动</w:t>
      </w:r>
    </w:p>
    <w:p w14:paraId="63443A62">
      <w:pPr>
        <w:rPr>
          <w:rFonts w:hint="default"/>
        </w:rPr>
      </w:pPr>
    </w:p>
    <w:p w14:paraId="1147DB88">
      <w:pPr>
        <w:rPr>
          <w:rFonts w:hint="default"/>
        </w:rPr>
      </w:pPr>
      <w:r>
        <w:rPr>
          <w:rFonts w:hint="default"/>
        </w:rPr>
        <w:t>我们将持续遵守适用法律法规，并在法律允许范围内配合监管与执法机关。</w:t>
      </w:r>
    </w:p>
    <w:p w14:paraId="6ECD8B36">
      <w:pPr>
        <w:rPr>
          <w:rFonts w:hint="default"/>
        </w:rPr>
      </w:pPr>
    </w:p>
    <w:p w14:paraId="2688B9B6">
      <w:pPr>
        <w:rPr>
          <w:rFonts w:hint="default"/>
        </w:rPr>
      </w:pPr>
      <w:r>
        <w:rPr>
          <w:rFonts w:hint="default"/>
        </w:rPr>
        <w:t>⸻</w:t>
      </w:r>
    </w:p>
    <w:p w14:paraId="126516F0">
      <w:pPr>
        <w:rPr>
          <w:rFonts w:hint="default"/>
        </w:rPr>
      </w:pPr>
    </w:p>
    <w:p w14:paraId="6E97E4E6">
      <w:pPr>
        <w:rPr>
          <w:rFonts w:hint="default"/>
        </w:rPr>
      </w:pPr>
      <w:r>
        <w:rPr>
          <w:rFonts w:hint="default"/>
        </w:rPr>
        <w:t>4. 合规体系（AML / CFT / 制裁）</w:t>
      </w:r>
    </w:p>
    <w:p w14:paraId="29FB4FAA">
      <w:pPr>
        <w:rPr>
          <w:rFonts w:hint="default"/>
        </w:rPr>
      </w:pPr>
    </w:p>
    <w:p w14:paraId="54779ADA">
      <w:pPr>
        <w:rPr>
          <w:rFonts w:hint="default"/>
        </w:rPr>
      </w:pPr>
      <w:r>
        <w:rPr>
          <w:rFonts w:hint="default"/>
        </w:rPr>
        <w:t>华商基金会实施基于风险的多层级合规体系：</w:t>
      </w:r>
    </w:p>
    <w:p w14:paraId="042E0A50">
      <w:pPr>
        <w:rPr>
          <w:rFonts w:hint="default"/>
        </w:rPr>
      </w:pPr>
    </w:p>
    <w:p w14:paraId="063EEFB5">
      <w:pPr>
        <w:rPr>
          <w:rFonts w:hint="default"/>
        </w:rPr>
      </w:pPr>
      <w:r>
        <w:rPr>
          <w:rFonts w:hint="default"/>
        </w:rPr>
        <w:t>第一层：身份识别（KYC）</w:t>
      </w:r>
    </w:p>
    <w:p w14:paraId="575816ED">
      <w:pPr>
        <w:rPr>
          <w:rFonts w:hint="default"/>
        </w:rPr>
      </w:pPr>
      <w:r>
        <w:rPr>
          <w:rFonts w:hint="default"/>
        </w:rPr>
        <w:tab/>
      </w:r>
      <w:r>
        <w:rPr>
          <w:rFonts w:hint="default"/>
        </w:rPr>
        <w:t>•</w:t>
      </w:r>
      <w:r>
        <w:rPr>
          <w:rFonts w:hint="default"/>
        </w:rPr>
        <w:tab/>
      </w:r>
      <w:r>
        <w:rPr>
          <w:rFonts w:hint="default"/>
        </w:rPr>
        <w:t>验证个人及企业身份</w:t>
      </w:r>
    </w:p>
    <w:p w14:paraId="4CC4F194">
      <w:pPr>
        <w:rPr>
          <w:rFonts w:hint="default"/>
        </w:rPr>
      </w:pPr>
      <w:r>
        <w:rPr>
          <w:rFonts w:hint="default"/>
        </w:rPr>
        <w:tab/>
      </w:r>
      <w:r>
        <w:rPr>
          <w:rFonts w:hint="default"/>
        </w:rPr>
        <w:t>•</w:t>
      </w:r>
      <w:r>
        <w:rPr>
          <w:rFonts w:hint="default"/>
        </w:rPr>
        <w:tab/>
      </w:r>
      <w:r>
        <w:rPr>
          <w:rFonts w:hint="default"/>
        </w:rPr>
        <w:t>核实实益所有人信息</w:t>
      </w:r>
    </w:p>
    <w:p w14:paraId="112EFDA6">
      <w:pPr>
        <w:rPr>
          <w:rFonts w:hint="default"/>
        </w:rPr>
      </w:pPr>
      <w:r>
        <w:rPr>
          <w:rFonts w:hint="default"/>
        </w:rPr>
        <w:tab/>
      </w:r>
      <w:r>
        <w:rPr>
          <w:rFonts w:hint="default"/>
        </w:rPr>
        <w:t>•</w:t>
      </w:r>
      <w:r>
        <w:rPr>
          <w:rFonts w:hint="default"/>
        </w:rPr>
        <w:tab/>
      </w:r>
      <w:r>
        <w:rPr>
          <w:rFonts w:hint="default"/>
        </w:rPr>
        <w:t>遵循 FATF 等国际标准</w:t>
      </w:r>
    </w:p>
    <w:p w14:paraId="4DB16521">
      <w:pPr>
        <w:rPr>
          <w:rFonts w:hint="default"/>
        </w:rPr>
      </w:pPr>
    </w:p>
    <w:p w14:paraId="1CBE3D40">
      <w:pPr>
        <w:rPr>
          <w:rFonts w:hint="default"/>
        </w:rPr>
      </w:pPr>
      <w:r>
        <w:rPr>
          <w:rFonts w:hint="default"/>
        </w:rPr>
        <w:t>第二层：制裁与风险筛查</w:t>
      </w:r>
    </w:p>
    <w:p w14:paraId="3CFF45B1">
      <w:pPr>
        <w:rPr>
          <w:rFonts w:hint="default"/>
        </w:rPr>
      </w:pPr>
    </w:p>
    <w:p w14:paraId="049A236B">
      <w:pPr>
        <w:rPr>
          <w:rFonts w:hint="default"/>
        </w:rPr>
      </w:pPr>
      <w:r>
        <w:rPr>
          <w:rFonts w:hint="default"/>
        </w:rPr>
        <w:t>可能依据：</w:t>
      </w:r>
    </w:p>
    <w:p w14:paraId="190B3C94">
      <w:pPr>
        <w:rPr>
          <w:rFonts w:hint="default"/>
        </w:rPr>
      </w:pPr>
      <w:r>
        <w:rPr>
          <w:rFonts w:hint="default"/>
        </w:rPr>
        <w:tab/>
      </w:r>
      <w:r>
        <w:rPr>
          <w:rFonts w:hint="default"/>
        </w:rPr>
        <w:t>•</w:t>
      </w:r>
      <w:r>
        <w:rPr>
          <w:rFonts w:hint="default"/>
        </w:rPr>
        <w:tab/>
      </w:r>
      <w:r>
        <w:rPr>
          <w:rFonts w:hint="default"/>
        </w:rPr>
        <w:t>美国 OFAC 制裁名单</w:t>
      </w:r>
    </w:p>
    <w:p w14:paraId="2768988A">
      <w:pPr>
        <w:rPr>
          <w:rFonts w:hint="default"/>
        </w:rPr>
      </w:pPr>
      <w:r>
        <w:rPr>
          <w:rFonts w:hint="default"/>
        </w:rPr>
        <w:tab/>
      </w:r>
      <w:r>
        <w:rPr>
          <w:rFonts w:hint="default"/>
        </w:rPr>
        <w:t>•</w:t>
      </w:r>
      <w:r>
        <w:rPr>
          <w:rFonts w:hint="default"/>
        </w:rPr>
        <w:tab/>
      </w:r>
      <w:r>
        <w:rPr>
          <w:rFonts w:hint="default"/>
        </w:rPr>
        <w:t>联合国制裁名单</w:t>
      </w:r>
    </w:p>
    <w:p w14:paraId="035BE9B5">
      <w:pPr>
        <w:rPr>
          <w:rFonts w:hint="default"/>
        </w:rPr>
      </w:pPr>
      <w:r>
        <w:rPr>
          <w:rFonts w:hint="default"/>
        </w:rPr>
        <w:tab/>
      </w:r>
      <w:r>
        <w:rPr>
          <w:rFonts w:hint="default"/>
        </w:rPr>
        <w:t>•</w:t>
      </w:r>
      <w:r>
        <w:rPr>
          <w:rFonts w:hint="default"/>
        </w:rPr>
        <w:tab/>
      </w:r>
      <w:r>
        <w:rPr>
          <w:rFonts w:hint="default"/>
        </w:rPr>
        <w:t>其他适用政府名单</w:t>
      </w:r>
    </w:p>
    <w:p w14:paraId="1A51C626">
      <w:pPr>
        <w:rPr>
          <w:rFonts w:hint="default"/>
        </w:rPr>
      </w:pPr>
    </w:p>
    <w:p w14:paraId="41D7403C">
      <w:pPr>
        <w:rPr>
          <w:rFonts w:hint="default"/>
        </w:rPr>
      </w:pPr>
      <w:r>
        <w:rPr>
          <w:rFonts w:hint="default"/>
        </w:rPr>
        <w:t>对用户进行风险筛查。</w:t>
      </w:r>
    </w:p>
    <w:p w14:paraId="10211874">
      <w:pPr>
        <w:rPr>
          <w:rFonts w:hint="default"/>
        </w:rPr>
      </w:pPr>
    </w:p>
    <w:p w14:paraId="2BA6DF78">
      <w:pPr>
        <w:rPr>
          <w:rFonts w:hint="default"/>
        </w:rPr>
      </w:pPr>
      <w:r>
        <w:rPr>
          <w:rFonts w:hint="default"/>
        </w:rPr>
        <w:t>第三层：持续监控</w:t>
      </w:r>
    </w:p>
    <w:p w14:paraId="7AA8ACC9">
      <w:pPr>
        <w:rPr>
          <w:rFonts w:hint="default"/>
        </w:rPr>
      </w:pPr>
    </w:p>
    <w:p w14:paraId="08D9C7BC">
      <w:pPr>
        <w:rPr>
          <w:rFonts w:hint="default"/>
        </w:rPr>
      </w:pPr>
      <w:r>
        <w:rPr>
          <w:rFonts w:hint="default"/>
        </w:rPr>
        <w:t>若发现可疑活动，平台有权：</w:t>
      </w:r>
    </w:p>
    <w:p w14:paraId="76E59EEF">
      <w:pPr>
        <w:rPr>
          <w:rFonts w:hint="default"/>
        </w:rPr>
      </w:pPr>
      <w:r>
        <w:rPr>
          <w:rFonts w:hint="default"/>
        </w:rPr>
        <w:tab/>
      </w:r>
      <w:r>
        <w:rPr>
          <w:rFonts w:hint="default"/>
        </w:rPr>
        <w:t>•</w:t>
      </w:r>
      <w:r>
        <w:rPr>
          <w:rFonts w:hint="default"/>
        </w:rPr>
        <w:tab/>
      </w:r>
      <w:r>
        <w:rPr>
          <w:rFonts w:hint="default"/>
        </w:rPr>
        <w:t>要求补充资料</w:t>
      </w:r>
    </w:p>
    <w:p w14:paraId="64E9BDAD">
      <w:pPr>
        <w:rPr>
          <w:rFonts w:hint="default"/>
        </w:rPr>
      </w:pPr>
      <w:r>
        <w:rPr>
          <w:rFonts w:hint="default"/>
        </w:rPr>
        <w:tab/>
      </w:r>
      <w:r>
        <w:rPr>
          <w:rFonts w:hint="default"/>
        </w:rPr>
        <w:t>•</w:t>
      </w:r>
      <w:r>
        <w:rPr>
          <w:rFonts w:hint="default"/>
        </w:rPr>
        <w:tab/>
      </w:r>
      <w:r>
        <w:rPr>
          <w:rFonts w:hint="default"/>
        </w:rPr>
        <w:t>暂停或冻结账户</w:t>
      </w:r>
    </w:p>
    <w:p w14:paraId="5E471619">
      <w:pPr>
        <w:rPr>
          <w:rFonts w:hint="default"/>
        </w:rPr>
      </w:pPr>
      <w:r>
        <w:rPr>
          <w:rFonts w:hint="default"/>
        </w:rPr>
        <w:tab/>
      </w:r>
      <w:r>
        <w:rPr>
          <w:rFonts w:hint="default"/>
        </w:rPr>
        <w:t>•</w:t>
      </w:r>
      <w:r>
        <w:rPr>
          <w:rFonts w:hint="default"/>
        </w:rPr>
        <w:tab/>
      </w:r>
      <w:r>
        <w:rPr>
          <w:rFonts w:hint="default"/>
        </w:rPr>
        <w:t>终止服务</w:t>
      </w:r>
    </w:p>
    <w:p w14:paraId="3A0E2BAD">
      <w:pPr>
        <w:rPr>
          <w:rFonts w:hint="default"/>
        </w:rPr>
      </w:pPr>
      <w:r>
        <w:rPr>
          <w:rFonts w:hint="default"/>
        </w:rPr>
        <w:tab/>
      </w:r>
      <w:r>
        <w:rPr>
          <w:rFonts w:hint="default"/>
        </w:rPr>
        <w:t>•</w:t>
      </w:r>
      <w:r>
        <w:rPr>
          <w:rFonts w:hint="default"/>
        </w:rPr>
        <w:tab/>
      </w:r>
      <w:r>
        <w:rPr>
          <w:rFonts w:hint="default"/>
        </w:rPr>
        <w:t>依法向监管机构报告</w:t>
      </w:r>
    </w:p>
    <w:p w14:paraId="082057E0">
      <w:pPr>
        <w:rPr>
          <w:rFonts w:hint="default"/>
        </w:rPr>
      </w:pPr>
    </w:p>
    <w:p w14:paraId="7ED167FD">
      <w:pPr>
        <w:rPr>
          <w:rFonts w:hint="default"/>
        </w:rPr>
      </w:pPr>
      <w:r>
        <w:rPr>
          <w:rFonts w:hint="default"/>
        </w:rPr>
        <w:t>⸻</w:t>
      </w:r>
    </w:p>
    <w:p w14:paraId="2E8087CD">
      <w:pPr>
        <w:rPr>
          <w:rFonts w:hint="default"/>
        </w:rPr>
      </w:pPr>
    </w:p>
    <w:p w14:paraId="08F9A7CE">
      <w:pPr>
        <w:rPr>
          <w:rFonts w:hint="default"/>
        </w:rPr>
      </w:pPr>
      <w:r>
        <w:rPr>
          <w:rFonts w:hint="default"/>
        </w:rPr>
        <w:t>5. 风险披露</w:t>
      </w:r>
    </w:p>
    <w:p w14:paraId="5DBFBB2B">
      <w:pPr>
        <w:rPr>
          <w:rFonts w:hint="default"/>
        </w:rPr>
      </w:pPr>
    </w:p>
    <w:p w14:paraId="09809191">
      <w:pPr>
        <w:rPr>
          <w:rFonts w:hint="default"/>
        </w:rPr>
      </w:pPr>
      <w:r>
        <w:rPr>
          <w:rFonts w:hint="default"/>
        </w:rPr>
        <w:t>5.1 市场风险</w:t>
      </w:r>
    </w:p>
    <w:p w14:paraId="5E6EDCA3">
      <w:pPr>
        <w:rPr>
          <w:rFonts w:hint="default"/>
        </w:rPr>
      </w:pPr>
    </w:p>
    <w:p w14:paraId="3573BA2F">
      <w:pPr>
        <w:rPr>
          <w:rFonts w:hint="default"/>
        </w:rPr>
      </w:pPr>
      <w:r>
        <w:rPr>
          <w:rFonts w:hint="eastAsia"/>
          <w:lang w:val="en-US" w:eastAsia="zh-CN"/>
        </w:rPr>
        <w:t>个人或企业会员</w:t>
      </w:r>
      <w:r>
        <w:rPr>
          <w:rFonts w:hint="default"/>
        </w:rPr>
        <w:t>资产或相关权益价值可能剧烈波动。</w:t>
      </w:r>
    </w:p>
    <w:p w14:paraId="1AF358BB">
      <w:pPr>
        <w:rPr>
          <w:rFonts w:hint="default"/>
        </w:rPr>
      </w:pPr>
      <w:r>
        <w:rPr>
          <w:rFonts w:hint="default"/>
        </w:rPr>
        <w:t>您可能损失全部投入金额。</w:t>
      </w:r>
    </w:p>
    <w:p w14:paraId="7860D8C9">
      <w:pPr>
        <w:rPr>
          <w:rFonts w:hint="default"/>
        </w:rPr>
      </w:pPr>
    </w:p>
    <w:p w14:paraId="5A8E2875">
      <w:pPr>
        <w:rPr>
          <w:rFonts w:hint="default"/>
        </w:rPr>
      </w:pPr>
      <w:r>
        <w:rPr>
          <w:rFonts w:hint="default"/>
        </w:rPr>
        <w:t>⸻</w:t>
      </w:r>
    </w:p>
    <w:p w14:paraId="41E932CC">
      <w:pPr>
        <w:rPr>
          <w:rFonts w:hint="default"/>
        </w:rPr>
      </w:pPr>
    </w:p>
    <w:p w14:paraId="2C13F7C8">
      <w:pPr>
        <w:rPr>
          <w:rFonts w:hint="default"/>
        </w:rPr>
      </w:pPr>
      <w:r>
        <w:rPr>
          <w:rFonts w:hint="default"/>
        </w:rPr>
        <w:t>5.2 流动性风险</w:t>
      </w:r>
    </w:p>
    <w:p w14:paraId="7F6864D6">
      <w:pPr>
        <w:rPr>
          <w:rFonts w:hint="default"/>
        </w:rPr>
      </w:pPr>
    </w:p>
    <w:p w14:paraId="2B099D47">
      <w:pPr>
        <w:rPr>
          <w:rFonts w:hint="default"/>
        </w:rPr>
      </w:pPr>
      <w:r>
        <w:rPr>
          <w:rFonts w:hint="default"/>
        </w:rPr>
        <w:t>在市场条件变化时，您可能无法及时完成交易或退出安排。</w:t>
      </w:r>
    </w:p>
    <w:p w14:paraId="49945F0F">
      <w:pPr>
        <w:rPr>
          <w:rFonts w:hint="default"/>
        </w:rPr>
      </w:pPr>
    </w:p>
    <w:p w14:paraId="4B8ED59A">
      <w:pPr>
        <w:rPr>
          <w:rFonts w:hint="default"/>
        </w:rPr>
      </w:pPr>
      <w:r>
        <w:rPr>
          <w:rFonts w:hint="default"/>
        </w:rPr>
        <w:t>⸻</w:t>
      </w:r>
    </w:p>
    <w:p w14:paraId="35C1D603">
      <w:pPr>
        <w:rPr>
          <w:rFonts w:hint="default"/>
        </w:rPr>
      </w:pPr>
    </w:p>
    <w:p w14:paraId="50983F08">
      <w:pPr>
        <w:rPr>
          <w:rFonts w:hint="default"/>
        </w:rPr>
      </w:pPr>
      <w:r>
        <w:rPr>
          <w:rFonts w:hint="default"/>
        </w:rPr>
        <w:t>5.3 技术风险</w:t>
      </w:r>
    </w:p>
    <w:p w14:paraId="7205E5D5">
      <w:pPr>
        <w:rPr>
          <w:rFonts w:hint="default"/>
        </w:rPr>
      </w:pPr>
    </w:p>
    <w:p w14:paraId="08A426F7">
      <w:pPr>
        <w:rPr>
          <w:rFonts w:hint="default"/>
        </w:rPr>
      </w:pPr>
      <w:r>
        <w:rPr>
          <w:rFonts w:hint="default"/>
        </w:rPr>
        <w:t>包括但不限于：</w:t>
      </w:r>
    </w:p>
    <w:p w14:paraId="38983A74">
      <w:pPr>
        <w:rPr>
          <w:rFonts w:hint="default"/>
        </w:rPr>
      </w:pPr>
      <w:r>
        <w:rPr>
          <w:rFonts w:hint="default"/>
        </w:rPr>
        <w:tab/>
      </w:r>
      <w:r>
        <w:rPr>
          <w:rFonts w:hint="default"/>
        </w:rPr>
        <w:t>•</w:t>
      </w:r>
      <w:r>
        <w:rPr>
          <w:rFonts w:hint="default"/>
        </w:rPr>
        <w:tab/>
      </w:r>
      <w:r>
        <w:rPr>
          <w:rFonts w:hint="default"/>
        </w:rPr>
        <w:t>网络故障</w:t>
      </w:r>
    </w:p>
    <w:p w14:paraId="01CFDD10">
      <w:pPr>
        <w:rPr>
          <w:rFonts w:hint="default"/>
        </w:rPr>
      </w:pPr>
      <w:r>
        <w:rPr>
          <w:rFonts w:hint="default"/>
        </w:rPr>
        <w:tab/>
      </w:r>
      <w:r>
        <w:rPr>
          <w:rFonts w:hint="default"/>
        </w:rPr>
        <w:t>•</w:t>
      </w:r>
      <w:r>
        <w:rPr>
          <w:rFonts w:hint="default"/>
        </w:rPr>
        <w:tab/>
      </w:r>
      <w:r>
        <w:rPr>
          <w:rFonts w:hint="default"/>
        </w:rPr>
        <w:t>系统延迟</w:t>
      </w:r>
    </w:p>
    <w:p w14:paraId="63493529">
      <w:pPr>
        <w:rPr>
          <w:rFonts w:hint="default"/>
        </w:rPr>
      </w:pPr>
      <w:r>
        <w:rPr>
          <w:rFonts w:hint="default"/>
        </w:rPr>
        <w:tab/>
      </w:r>
      <w:r>
        <w:rPr>
          <w:rFonts w:hint="default"/>
        </w:rPr>
        <w:t>•</w:t>
      </w:r>
      <w:r>
        <w:rPr>
          <w:rFonts w:hint="default"/>
        </w:rPr>
        <w:tab/>
      </w:r>
      <w:r>
        <w:rPr>
          <w:rFonts w:hint="eastAsia"/>
          <w:lang w:val="en-US" w:eastAsia="zh-CN"/>
        </w:rPr>
        <w:t>支付</w:t>
      </w:r>
      <w:r>
        <w:rPr>
          <w:rFonts w:hint="default"/>
        </w:rPr>
        <w:t>安全风险</w:t>
      </w:r>
    </w:p>
    <w:p w14:paraId="2C948589">
      <w:pPr>
        <w:rPr>
          <w:rFonts w:hint="default"/>
        </w:rPr>
      </w:pPr>
      <w:r>
        <w:rPr>
          <w:rFonts w:hint="default"/>
        </w:rPr>
        <w:tab/>
      </w:r>
      <w:r>
        <w:rPr>
          <w:rFonts w:hint="default"/>
        </w:rPr>
        <w:t>•</w:t>
      </w:r>
      <w:r>
        <w:rPr>
          <w:rFonts w:hint="default"/>
        </w:rPr>
        <w:tab/>
      </w:r>
      <w:r>
        <w:rPr>
          <w:rFonts w:hint="default"/>
        </w:rPr>
        <w:t>黑客攻击</w:t>
      </w:r>
    </w:p>
    <w:p w14:paraId="48DEEE49">
      <w:pPr>
        <w:rPr>
          <w:rFonts w:hint="default"/>
        </w:rPr>
      </w:pPr>
      <w:r>
        <w:rPr>
          <w:rFonts w:hint="default"/>
        </w:rPr>
        <w:tab/>
      </w:r>
      <w:r>
        <w:rPr>
          <w:rFonts w:hint="default"/>
        </w:rPr>
        <w:t>•</w:t>
      </w:r>
      <w:r>
        <w:rPr>
          <w:rFonts w:hint="default"/>
        </w:rPr>
        <w:tab/>
      </w:r>
      <w:r>
        <w:rPr>
          <w:rFonts w:hint="default"/>
        </w:rPr>
        <w:t>第三方服务故障</w:t>
      </w:r>
    </w:p>
    <w:p w14:paraId="71483C40">
      <w:pPr>
        <w:rPr>
          <w:rFonts w:hint="default"/>
        </w:rPr>
      </w:pPr>
    </w:p>
    <w:p w14:paraId="780D62B3">
      <w:pPr>
        <w:rPr>
          <w:rFonts w:hint="default"/>
        </w:rPr>
      </w:pPr>
      <w:r>
        <w:rPr>
          <w:rFonts w:hint="default"/>
        </w:rPr>
        <w:t>⸻</w:t>
      </w:r>
    </w:p>
    <w:p w14:paraId="2D2620DB">
      <w:pPr>
        <w:rPr>
          <w:rFonts w:hint="default"/>
        </w:rPr>
      </w:pPr>
    </w:p>
    <w:p w14:paraId="7D97E452">
      <w:pPr>
        <w:rPr>
          <w:rFonts w:hint="default"/>
        </w:rPr>
      </w:pPr>
      <w:r>
        <w:rPr>
          <w:rFonts w:hint="default"/>
        </w:rPr>
        <w:t>5.4 外汇与支付风险</w:t>
      </w:r>
    </w:p>
    <w:p w14:paraId="00014D3D">
      <w:pPr>
        <w:rPr>
          <w:rFonts w:hint="default"/>
        </w:rPr>
      </w:pPr>
    </w:p>
    <w:p w14:paraId="7BB42CE8">
      <w:pPr>
        <w:rPr>
          <w:rFonts w:hint="default"/>
        </w:rPr>
      </w:pPr>
      <w:r>
        <w:rPr>
          <w:rFonts w:hint="default"/>
        </w:rPr>
        <w:t>涉及跨币种或信用卡支付时，可能产生：</w:t>
      </w:r>
    </w:p>
    <w:p w14:paraId="5F53CB8E">
      <w:pPr>
        <w:rPr>
          <w:rFonts w:hint="default"/>
        </w:rPr>
      </w:pPr>
      <w:r>
        <w:rPr>
          <w:rFonts w:hint="default"/>
        </w:rPr>
        <w:tab/>
      </w:r>
      <w:r>
        <w:rPr>
          <w:rFonts w:hint="default"/>
        </w:rPr>
        <w:t>•</w:t>
      </w:r>
      <w:r>
        <w:rPr>
          <w:rFonts w:hint="default"/>
        </w:rPr>
        <w:tab/>
      </w:r>
      <w:r>
        <w:rPr>
          <w:rFonts w:hint="default"/>
        </w:rPr>
        <w:t>汇率波动风险</w:t>
      </w:r>
    </w:p>
    <w:p w14:paraId="218B7513">
      <w:pPr>
        <w:rPr>
          <w:rFonts w:hint="default"/>
        </w:rPr>
      </w:pPr>
      <w:r>
        <w:rPr>
          <w:rFonts w:hint="default"/>
        </w:rPr>
        <w:tab/>
      </w:r>
      <w:r>
        <w:rPr>
          <w:rFonts w:hint="default"/>
        </w:rPr>
        <w:t>•</w:t>
      </w:r>
      <w:r>
        <w:rPr>
          <w:rFonts w:hint="default"/>
        </w:rPr>
        <w:tab/>
      </w:r>
      <w:r>
        <w:rPr>
          <w:rFonts w:hint="default"/>
        </w:rPr>
        <w:t>支付处理延迟</w:t>
      </w:r>
    </w:p>
    <w:p w14:paraId="1D87062F">
      <w:pPr>
        <w:rPr>
          <w:rFonts w:hint="default"/>
        </w:rPr>
      </w:pPr>
      <w:r>
        <w:rPr>
          <w:rFonts w:hint="default"/>
        </w:rPr>
        <w:tab/>
      </w:r>
      <w:r>
        <w:rPr>
          <w:rFonts w:hint="default"/>
        </w:rPr>
        <w:t>•</w:t>
      </w:r>
      <w:r>
        <w:rPr>
          <w:rFonts w:hint="default"/>
        </w:rPr>
        <w:tab/>
      </w:r>
      <w:r>
        <w:rPr>
          <w:rFonts w:hint="default"/>
        </w:rPr>
        <w:t>系统错误风险</w:t>
      </w:r>
    </w:p>
    <w:p w14:paraId="75B8684C">
      <w:pPr>
        <w:rPr>
          <w:rFonts w:hint="default" w:eastAsiaTheme="minorEastAsia"/>
          <w:lang w:val="en-US" w:eastAsia="zh-CN"/>
        </w:rPr>
      </w:pPr>
      <w:r>
        <w:rPr>
          <w:rFonts w:hint="eastAsia"/>
          <w:lang w:val="en-US" w:eastAsia="zh-CN"/>
        </w:rPr>
        <w:t xml:space="preserve">        会员奖励因账户变动改变之风险</w:t>
      </w:r>
    </w:p>
    <w:p w14:paraId="376BD9C4">
      <w:pPr>
        <w:rPr>
          <w:rFonts w:hint="default"/>
        </w:rPr>
      </w:pPr>
    </w:p>
    <w:p w14:paraId="72CAD414">
      <w:pPr>
        <w:rPr>
          <w:rFonts w:hint="default"/>
        </w:rPr>
      </w:pPr>
      <w:r>
        <w:rPr>
          <w:rFonts w:hint="default"/>
        </w:rPr>
        <w:t>相关风险由用户自行承担。</w:t>
      </w:r>
    </w:p>
    <w:p w14:paraId="36C90C70">
      <w:pPr>
        <w:rPr>
          <w:rFonts w:hint="default"/>
        </w:rPr>
      </w:pPr>
    </w:p>
    <w:p w14:paraId="055D488E">
      <w:pPr>
        <w:rPr>
          <w:rFonts w:hint="default"/>
        </w:rPr>
      </w:pPr>
      <w:r>
        <w:rPr>
          <w:rFonts w:hint="default"/>
        </w:rPr>
        <w:t>⸻</w:t>
      </w:r>
    </w:p>
    <w:p w14:paraId="09D3156A">
      <w:pPr>
        <w:rPr>
          <w:rFonts w:hint="default"/>
        </w:rPr>
      </w:pPr>
    </w:p>
    <w:p w14:paraId="115224BA">
      <w:pPr>
        <w:rPr>
          <w:rFonts w:hint="default"/>
        </w:rPr>
      </w:pPr>
      <w:r>
        <w:rPr>
          <w:rFonts w:hint="default"/>
        </w:rPr>
        <w:t>5.5 监管变化风险</w:t>
      </w:r>
    </w:p>
    <w:p w14:paraId="7CB18291">
      <w:pPr>
        <w:rPr>
          <w:rFonts w:hint="default"/>
        </w:rPr>
      </w:pPr>
    </w:p>
    <w:p w14:paraId="65D57340">
      <w:pPr>
        <w:rPr>
          <w:rFonts w:hint="default"/>
        </w:rPr>
      </w:pPr>
      <w:r>
        <w:rPr>
          <w:rFonts w:hint="default"/>
        </w:rPr>
        <w:t>法律或监管政策变化可能导致：</w:t>
      </w:r>
    </w:p>
    <w:p w14:paraId="54598321">
      <w:pPr>
        <w:rPr>
          <w:rFonts w:hint="default"/>
        </w:rPr>
      </w:pPr>
      <w:r>
        <w:rPr>
          <w:rFonts w:hint="default"/>
        </w:rPr>
        <w:tab/>
      </w:r>
      <w:r>
        <w:rPr>
          <w:rFonts w:hint="default"/>
        </w:rPr>
        <w:t>•</w:t>
      </w:r>
      <w:r>
        <w:rPr>
          <w:rFonts w:hint="default"/>
        </w:rPr>
        <w:tab/>
      </w:r>
      <w:r>
        <w:rPr>
          <w:rFonts w:hint="default"/>
        </w:rPr>
        <w:t>服务暂停</w:t>
      </w:r>
    </w:p>
    <w:p w14:paraId="5E9E04D9">
      <w:pPr>
        <w:rPr>
          <w:rFonts w:hint="default"/>
        </w:rPr>
      </w:pPr>
      <w:r>
        <w:rPr>
          <w:rFonts w:hint="default"/>
        </w:rPr>
        <w:tab/>
      </w:r>
      <w:r>
        <w:rPr>
          <w:rFonts w:hint="default"/>
        </w:rPr>
        <w:t>•</w:t>
      </w:r>
      <w:r>
        <w:rPr>
          <w:rFonts w:hint="default"/>
        </w:rPr>
        <w:tab/>
      </w:r>
      <w:r>
        <w:rPr>
          <w:rFonts w:hint="default"/>
        </w:rPr>
        <w:t>服务限制</w:t>
      </w:r>
    </w:p>
    <w:p w14:paraId="37460417">
      <w:pPr>
        <w:rPr>
          <w:rFonts w:hint="default"/>
        </w:rPr>
      </w:pPr>
      <w:r>
        <w:rPr>
          <w:rFonts w:hint="default"/>
        </w:rPr>
        <w:tab/>
      </w:r>
      <w:r>
        <w:rPr>
          <w:rFonts w:hint="default"/>
        </w:rPr>
        <w:t>•</w:t>
      </w:r>
      <w:r>
        <w:rPr>
          <w:rFonts w:hint="default"/>
        </w:rPr>
        <w:tab/>
      </w:r>
      <w:r>
        <w:rPr>
          <w:rFonts w:hint="default"/>
        </w:rPr>
        <w:t>某些地区无法访问</w:t>
      </w:r>
    </w:p>
    <w:p w14:paraId="47400D6D">
      <w:pPr>
        <w:rPr>
          <w:rFonts w:hint="default"/>
        </w:rPr>
      </w:pPr>
    </w:p>
    <w:p w14:paraId="2C850326">
      <w:pPr>
        <w:rPr>
          <w:rFonts w:hint="default"/>
        </w:rPr>
      </w:pPr>
      <w:r>
        <w:rPr>
          <w:rFonts w:hint="default"/>
        </w:rPr>
        <w:t>⸻</w:t>
      </w:r>
    </w:p>
    <w:p w14:paraId="3A7C15E4">
      <w:pPr>
        <w:rPr>
          <w:rFonts w:hint="default"/>
        </w:rPr>
      </w:pPr>
    </w:p>
    <w:p w14:paraId="61AFD379">
      <w:pPr>
        <w:rPr>
          <w:rFonts w:hint="default"/>
        </w:rPr>
      </w:pPr>
      <w:r>
        <w:rPr>
          <w:rFonts w:hint="default"/>
        </w:rPr>
        <w:t>6. 费用说明</w:t>
      </w:r>
    </w:p>
    <w:p w14:paraId="43ECA4D4">
      <w:pPr>
        <w:rPr>
          <w:rFonts w:hint="default"/>
        </w:rPr>
      </w:pPr>
    </w:p>
    <w:p w14:paraId="0928EF13">
      <w:pPr>
        <w:rPr>
          <w:rFonts w:hint="default"/>
        </w:rPr>
      </w:pPr>
      <w:r>
        <w:rPr>
          <w:rFonts w:hint="default"/>
        </w:rPr>
        <w:t>平台可能收取</w:t>
      </w:r>
      <w:r>
        <w:rPr>
          <w:rFonts w:hint="eastAsia"/>
          <w:lang w:val="en-US" w:eastAsia="zh-CN"/>
        </w:rPr>
        <w:t>或奖励</w:t>
      </w:r>
      <w:r>
        <w:rPr>
          <w:rFonts w:hint="default"/>
        </w:rPr>
        <w:t>：</w:t>
      </w:r>
    </w:p>
    <w:p w14:paraId="2921CE04">
      <w:pPr>
        <w:rPr>
          <w:rFonts w:hint="default"/>
        </w:rPr>
      </w:pPr>
      <w:r>
        <w:rPr>
          <w:rFonts w:hint="default"/>
        </w:rPr>
        <w:tab/>
      </w:r>
      <w:r>
        <w:rPr>
          <w:rFonts w:hint="default"/>
        </w:rPr>
        <w:t>•</w:t>
      </w:r>
      <w:r>
        <w:rPr>
          <w:rFonts w:hint="default"/>
        </w:rPr>
        <w:tab/>
      </w:r>
      <w:r>
        <w:rPr>
          <w:rFonts w:hint="default"/>
        </w:rPr>
        <w:t>会员服务费</w:t>
      </w:r>
    </w:p>
    <w:p w14:paraId="02BD0896">
      <w:pPr>
        <w:rPr>
          <w:rFonts w:hint="default"/>
        </w:rPr>
      </w:pPr>
      <w:r>
        <w:rPr>
          <w:rFonts w:hint="default"/>
        </w:rPr>
        <w:tab/>
      </w:r>
      <w:r>
        <w:rPr>
          <w:rFonts w:hint="default"/>
        </w:rPr>
        <w:t>•</w:t>
      </w:r>
      <w:r>
        <w:rPr>
          <w:rFonts w:hint="default"/>
        </w:rPr>
        <w:tab/>
      </w:r>
      <w:r>
        <w:rPr>
          <w:rFonts w:hint="default"/>
        </w:rPr>
        <w:t>系统使用费</w:t>
      </w:r>
    </w:p>
    <w:p w14:paraId="7A4CF53C">
      <w:pPr>
        <w:rPr>
          <w:rFonts w:hint="default"/>
        </w:rPr>
      </w:pPr>
      <w:r>
        <w:rPr>
          <w:rFonts w:hint="default"/>
        </w:rPr>
        <w:tab/>
      </w:r>
      <w:r>
        <w:rPr>
          <w:rFonts w:hint="default"/>
        </w:rPr>
        <w:t>•</w:t>
      </w:r>
      <w:r>
        <w:rPr>
          <w:rFonts w:hint="default"/>
        </w:rPr>
        <w:tab/>
      </w:r>
      <w:r>
        <w:rPr>
          <w:rFonts w:hint="default"/>
        </w:rPr>
        <w:t>第三方支付费用</w:t>
      </w:r>
    </w:p>
    <w:p w14:paraId="7D287BF7">
      <w:pPr>
        <w:rPr>
          <w:rFonts w:hint="default"/>
        </w:rPr>
      </w:pPr>
      <w:r>
        <w:rPr>
          <w:rFonts w:hint="default"/>
        </w:rPr>
        <w:tab/>
      </w:r>
      <w:r>
        <w:rPr>
          <w:rFonts w:hint="default"/>
        </w:rPr>
        <w:t>•</w:t>
      </w:r>
      <w:r>
        <w:rPr>
          <w:rFonts w:hint="default"/>
        </w:rPr>
        <w:tab/>
      </w:r>
      <w:r>
        <w:rPr>
          <w:rFonts w:hint="default"/>
        </w:rPr>
        <w:t>网络或链上手续费</w:t>
      </w:r>
    </w:p>
    <w:p w14:paraId="6747C491">
      <w:pPr>
        <w:rPr>
          <w:rFonts w:hint="default" w:eastAsiaTheme="minorEastAsia"/>
          <w:lang w:val="en-US" w:eastAsia="zh-CN"/>
        </w:rPr>
      </w:pPr>
      <w:r>
        <w:rPr>
          <w:rFonts w:hint="eastAsia"/>
          <w:lang w:val="en-US" w:eastAsia="zh-CN"/>
        </w:rPr>
        <w:t xml:space="preserve">        满足获得奖励会员可获得奖励</w:t>
      </w:r>
    </w:p>
    <w:p w14:paraId="1759C407">
      <w:pPr>
        <w:rPr>
          <w:rFonts w:hint="default"/>
        </w:rPr>
      </w:pPr>
    </w:p>
    <w:p w14:paraId="44EBF984">
      <w:pPr>
        <w:rPr>
          <w:rFonts w:hint="default"/>
        </w:rPr>
      </w:pPr>
      <w:r>
        <w:rPr>
          <w:rFonts w:hint="default"/>
        </w:rPr>
        <w:t>具体费用以平台公示为准。</w:t>
      </w:r>
    </w:p>
    <w:p w14:paraId="4E0F01CF">
      <w:pPr>
        <w:rPr>
          <w:rFonts w:hint="default"/>
        </w:rPr>
      </w:pPr>
    </w:p>
    <w:p w14:paraId="5B24B607">
      <w:pPr>
        <w:rPr>
          <w:rFonts w:hint="default"/>
        </w:rPr>
      </w:pPr>
      <w:r>
        <w:rPr>
          <w:rFonts w:hint="default"/>
        </w:rPr>
        <w:t>⸻</w:t>
      </w:r>
    </w:p>
    <w:p w14:paraId="0F363F0A">
      <w:pPr>
        <w:rPr>
          <w:rFonts w:hint="default"/>
        </w:rPr>
      </w:pPr>
    </w:p>
    <w:p w14:paraId="5FCE7DA1">
      <w:pPr>
        <w:rPr>
          <w:rFonts w:hint="default"/>
        </w:rPr>
      </w:pPr>
      <w:r>
        <w:rPr>
          <w:rFonts w:hint="default"/>
        </w:rPr>
        <w:t>7. 执法合作</w:t>
      </w:r>
    </w:p>
    <w:p w14:paraId="34D87434">
      <w:pPr>
        <w:rPr>
          <w:rFonts w:hint="default"/>
        </w:rPr>
      </w:pPr>
    </w:p>
    <w:p w14:paraId="681350A4">
      <w:pPr>
        <w:rPr>
          <w:rFonts w:hint="default"/>
        </w:rPr>
      </w:pPr>
      <w:r>
        <w:rPr>
          <w:rFonts w:hint="default"/>
        </w:rPr>
        <w:t>在法律允许范围内，华商基金会将配合监管及执法机关调查非法活动。</w:t>
      </w:r>
    </w:p>
    <w:p w14:paraId="0DA54CB3">
      <w:pPr>
        <w:rPr>
          <w:rFonts w:hint="default"/>
        </w:rPr>
      </w:pPr>
    </w:p>
    <w:p w14:paraId="05CC5A62">
      <w:pPr>
        <w:rPr>
          <w:rFonts w:hint="default"/>
        </w:rPr>
      </w:pPr>
      <w:r>
        <w:rPr>
          <w:rFonts w:hint="default"/>
        </w:rPr>
        <w:t>平台仅面向合法合规用户开放。</w:t>
      </w:r>
    </w:p>
    <w:p w14:paraId="4CA81423">
      <w:pPr>
        <w:rPr>
          <w:rFonts w:hint="default"/>
        </w:rPr>
      </w:pPr>
    </w:p>
    <w:p w14:paraId="05140D50">
      <w:pPr>
        <w:rPr>
          <w:rFonts w:hint="default"/>
        </w:rPr>
      </w:pPr>
      <w:r>
        <w:rPr>
          <w:rFonts w:hint="default"/>
        </w:rPr>
        <w:t>⸻</w:t>
      </w:r>
    </w:p>
    <w:p w14:paraId="626624AD">
      <w:pPr>
        <w:rPr>
          <w:rFonts w:hint="default"/>
        </w:rPr>
      </w:pPr>
    </w:p>
    <w:p w14:paraId="6F67A2AD">
      <w:pPr>
        <w:rPr>
          <w:rFonts w:hint="default"/>
        </w:rPr>
      </w:pPr>
      <w:r>
        <w:rPr>
          <w:rFonts w:hint="default"/>
        </w:rPr>
        <w:t>8. 免责声明</w:t>
      </w:r>
    </w:p>
    <w:p w14:paraId="07D71EF4">
      <w:pPr>
        <w:rPr>
          <w:rFonts w:hint="default"/>
        </w:rPr>
      </w:pPr>
      <w:r>
        <w:rPr>
          <w:rFonts w:hint="default"/>
        </w:rPr>
        <w:tab/>
      </w:r>
      <w:r>
        <w:rPr>
          <w:rFonts w:hint="default"/>
        </w:rPr>
        <w:t>1.</w:t>
      </w:r>
      <w:r>
        <w:rPr>
          <w:rFonts w:hint="default"/>
        </w:rPr>
        <w:tab/>
      </w:r>
      <w:r>
        <w:rPr>
          <w:rFonts w:hint="default"/>
        </w:rPr>
        <w:t>本平台不构成投资建议。</w:t>
      </w:r>
    </w:p>
    <w:p w14:paraId="37E7EA52">
      <w:pPr>
        <w:rPr>
          <w:rFonts w:hint="default"/>
        </w:rPr>
      </w:pPr>
      <w:r>
        <w:rPr>
          <w:rFonts w:hint="default"/>
        </w:rPr>
        <w:tab/>
      </w:r>
      <w:r>
        <w:rPr>
          <w:rFonts w:hint="default"/>
        </w:rPr>
        <w:t>2.</w:t>
      </w:r>
      <w:r>
        <w:rPr>
          <w:rFonts w:hint="default"/>
        </w:rPr>
        <w:tab/>
      </w:r>
      <w:r>
        <w:rPr>
          <w:rFonts w:hint="default"/>
        </w:rPr>
        <w:t>不保证任何收益或回报。</w:t>
      </w:r>
    </w:p>
    <w:p w14:paraId="75A15CAC">
      <w:pPr>
        <w:rPr>
          <w:rFonts w:hint="default"/>
        </w:rPr>
      </w:pPr>
      <w:r>
        <w:rPr>
          <w:rFonts w:hint="default"/>
        </w:rPr>
        <w:tab/>
      </w:r>
      <w:r>
        <w:rPr>
          <w:rFonts w:hint="default"/>
        </w:rPr>
        <w:t>3.</w:t>
      </w:r>
      <w:r>
        <w:rPr>
          <w:rFonts w:hint="default"/>
        </w:rPr>
        <w:tab/>
      </w:r>
      <w:r>
        <w:rPr>
          <w:rFonts w:hint="default"/>
        </w:rPr>
        <w:t>不对市场波动或技术故障导致的损失承担责任（法律强制规定除外）。</w:t>
      </w:r>
    </w:p>
    <w:p w14:paraId="07E45B10">
      <w:pPr>
        <w:rPr>
          <w:rFonts w:hint="default"/>
        </w:rPr>
      </w:pPr>
      <w:r>
        <w:rPr>
          <w:rFonts w:hint="default"/>
        </w:rPr>
        <w:tab/>
      </w:r>
      <w:r>
        <w:rPr>
          <w:rFonts w:hint="default"/>
        </w:rPr>
        <w:t>4.</w:t>
      </w:r>
      <w:r>
        <w:rPr>
          <w:rFonts w:hint="default"/>
        </w:rPr>
        <w:tab/>
      </w:r>
      <w:r>
        <w:rPr>
          <w:rFonts w:hint="default"/>
        </w:rPr>
        <w:t>用户应自行承担决策后果。</w:t>
      </w:r>
    </w:p>
    <w:p w14:paraId="0C7447F7">
      <w:pPr>
        <w:rPr>
          <w:rFonts w:hint="default"/>
        </w:rPr>
      </w:pPr>
    </w:p>
    <w:p w14:paraId="1C3B805F">
      <w:pPr>
        <w:rPr>
          <w:rFonts w:hint="default"/>
        </w:rPr>
      </w:pPr>
      <w:r>
        <w:rPr>
          <w:rFonts w:hint="default"/>
        </w:rPr>
        <w:t>⸻</w:t>
      </w:r>
    </w:p>
    <w:p w14:paraId="4E31E1D8">
      <w:pPr>
        <w:rPr>
          <w:rFonts w:hint="default"/>
        </w:rPr>
      </w:pPr>
    </w:p>
    <w:p w14:paraId="3F9E27A9">
      <w:pPr>
        <w:rPr>
          <w:rFonts w:hint="default"/>
        </w:rPr>
      </w:pPr>
      <w:r>
        <w:rPr>
          <w:rFonts w:hint="default"/>
        </w:rPr>
        <w:t>9. 语言版本</w:t>
      </w:r>
    </w:p>
    <w:p w14:paraId="4BB44C37">
      <w:pPr>
        <w:rPr>
          <w:rFonts w:hint="default"/>
        </w:rPr>
      </w:pPr>
    </w:p>
    <w:p w14:paraId="451054E3">
      <w:pPr>
        <w:rPr>
          <w:rFonts w:hint="default"/>
        </w:rPr>
      </w:pPr>
      <w:r>
        <w:rPr>
          <w:rFonts w:hint="default"/>
        </w:rPr>
        <w:t>本声明可能提供多语言版本。</w:t>
      </w:r>
    </w:p>
    <w:p w14:paraId="74F15E28">
      <w:pPr>
        <w:rPr>
          <w:rFonts w:hint="default"/>
        </w:rPr>
      </w:pPr>
      <w:r>
        <w:rPr>
          <w:rFonts w:hint="default"/>
        </w:rPr>
        <w:t>如存在差异，以英文版本为准。</w:t>
      </w:r>
    </w:p>
    <w:p w14:paraId="13391B4E">
      <w:pPr>
        <w:rPr>
          <w:rFonts w:hint="default"/>
        </w:rPr>
      </w:pPr>
    </w:p>
    <w:p w14:paraId="3B9F882A">
      <w:pPr>
        <w:rPr>
          <w:rFonts w:hint="eastAsia" w:eastAsiaTheme="minorEastAsia"/>
          <w:lang w:eastAsia="zh-CN"/>
        </w:rPr>
      </w:pPr>
      <w:r>
        <w:rPr>
          <w:rFonts w:hint="eastAsia" w:eastAsiaTheme="minorEastAsia"/>
          <w:lang w:eastAsia="zh-CN"/>
        </w:rPr>
        <w:drawing>
          <wp:inline distT="0" distB="0" distL="114300" distR="114300">
            <wp:extent cx="5268595" cy="2783840"/>
            <wp:effectExtent l="0" t="0" r="8255" b="16510"/>
            <wp:docPr id="1" name="图片 1" descr="20260303091953_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60303091953_9_5"/>
                    <pic:cNvPicPr>
                      <a:picLocks noChangeAspect="1"/>
                    </pic:cNvPicPr>
                  </pic:nvPicPr>
                  <pic:blipFill>
                    <a:blip r:embed="rId4"/>
                    <a:stretch>
                      <a:fillRect/>
                    </a:stretch>
                  </pic:blipFill>
                  <pic:spPr>
                    <a:xfrm>
                      <a:off x="0" y="0"/>
                      <a:ext cx="5268595" cy="2783840"/>
                    </a:xfrm>
                    <a:prstGeom prst="rect">
                      <a:avLst/>
                    </a:prstGeom>
                  </pic:spPr>
                </pic:pic>
              </a:graphicData>
            </a:graphic>
          </wp:inline>
        </w:drawing>
      </w:r>
    </w:p>
    <w:p w14:paraId="49B5E62A">
      <w:pPr>
        <w:rPr>
          <w:rFonts w:hint="eastAsia" w:eastAsiaTheme="minorEastAsia"/>
          <w:lang w:eastAsia="zh-CN"/>
        </w:rPr>
      </w:pPr>
      <w:r>
        <w:rPr>
          <w:rFonts w:hint="eastAsia" w:eastAsiaTheme="minorEastAsia"/>
          <w:lang w:eastAsia="zh-CN"/>
        </w:rPr>
        <w:drawing>
          <wp:inline distT="0" distB="0" distL="114300" distR="114300">
            <wp:extent cx="5266690" cy="7900670"/>
            <wp:effectExtent l="0" t="0" r="10160" b="5080"/>
            <wp:docPr id="2" name="图片 2" descr="20260303091818_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60303091818_8_5"/>
                    <pic:cNvPicPr>
                      <a:picLocks noChangeAspect="1"/>
                    </pic:cNvPicPr>
                  </pic:nvPicPr>
                  <pic:blipFill>
                    <a:blip r:embed="rId5"/>
                    <a:stretch>
                      <a:fillRect/>
                    </a:stretch>
                  </pic:blipFill>
                  <pic:spPr>
                    <a:xfrm>
                      <a:off x="0" y="0"/>
                      <a:ext cx="5266690" cy="7900670"/>
                    </a:xfrm>
                    <a:prstGeom prst="rect">
                      <a:avLst/>
                    </a:prstGeom>
                  </pic:spPr>
                </pic:pic>
              </a:graphicData>
            </a:graphic>
          </wp:inline>
        </w:drawing>
      </w:r>
    </w:p>
    <w:p w14:paraId="2BD1153E">
      <w:pPr>
        <w:rPr>
          <w:rFonts w:hint="eastAsia" w:eastAsiaTheme="minorEastAsia"/>
          <w:lang w:eastAsia="zh-CN"/>
        </w:rPr>
      </w:pPr>
      <w:r>
        <w:rPr>
          <w:rFonts w:hint="eastAsia" w:eastAsiaTheme="minorEastAsia"/>
          <w:lang w:eastAsia="zh-CN"/>
        </w:rPr>
        <w:drawing>
          <wp:inline distT="0" distB="0" distL="114300" distR="114300">
            <wp:extent cx="5274310" cy="5485130"/>
            <wp:effectExtent l="0" t="0" r="2540" b="1270"/>
            <wp:docPr id="3" name="图片 3" descr="20260303092946_1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60303092946_12_5"/>
                    <pic:cNvPicPr>
                      <a:picLocks noChangeAspect="1"/>
                    </pic:cNvPicPr>
                  </pic:nvPicPr>
                  <pic:blipFill>
                    <a:blip r:embed="rId6"/>
                    <a:stretch>
                      <a:fillRect/>
                    </a:stretch>
                  </pic:blipFill>
                  <pic:spPr>
                    <a:xfrm>
                      <a:off x="0" y="0"/>
                      <a:ext cx="5274310" cy="5485130"/>
                    </a:xfrm>
                    <a:prstGeom prst="rect">
                      <a:avLst/>
                    </a:prstGeom>
                  </pic:spPr>
                </pic:pic>
              </a:graphicData>
            </a:graphic>
          </wp:inline>
        </w:drawing>
      </w:r>
    </w:p>
    <w:p w14:paraId="79B4D8E5">
      <w:pPr>
        <w:rPr>
          <w:rFonts w:hint="default"/>
        </w:rPr>
      </w:pPr>
    </w:p>
    <w:p w14:paraId="7DE1AE72">
      <w:pPr>
        <w:rPr>
          <w:rFonts w:hint="eastAsia" w:eastAsiaTheme="minorEastAsia"/>
          <w:lang w:eastAsia="zh-CN"/>
        </w:rPr>
      </w:pPr>
      <w:bookmarkStart w:id="0" w:name="_GoBack"/>
      <w:r>
        <w:rPr>
          <w:rFonts w:hint="eastAsia" w:eastAsiaTheme="minorEastAsia"/>
          <w:lang w:eastAsia="zh-CN"/>
        </w:rPr>
        <w:drawing>
          <wp:inline distT="0" distB="0" distL="114300" distR="114300">
            <wp:extent cx="5262880" cy="6760210"/>
            <wp:effectExtent l="0" t="0" r="13970" b="2540"/>
            <wp:docPr id="4" name="图片 4" descr="20260303092607_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60303092607_11_5"/>
                    <pic:cNvPicPr>
                      <a:picLocks noChangeAspect="1"/>
                    </pic:cNvPicPr>
                  </pic:nvPicPr>
                  <pic:blipFill>
                    <a:blip r:embed="rId7"/>
                    <a:stretch>
                      <a:fillRect/>
                    </a:stretch>
                  </pic:blipFill>
                  <pic:spPr>
                    <a:xfrm>
                      <a:off x="0" y="0"/>
                      <a:ext cx="5262880" cy="676021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8D7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14</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2026-03-03T17:33:36Z</dcterms:created>
  <dc:creator>luoma</dc:creator>
  <cp:lastModifiedBy>Kam.zhang</cp:lastModifiedBy>
  <cp:lastPrinted>2026-03-03T17:48:17Z</cp:lastPrinted>
  <dcterms:modified xsi:type="dcterms:W3CDTF">2026-03-03T17:48:31Z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eyJoZGlkIjoiZGZhMDIwM2JjNzAzYWJlNmY2OTUzYjczMzc0Njk5ZmUiLCJ1c2VySWQiOiIyMDgwNDU0NTMifQ==</vt:lpwstr>
  </property>
  <property fmtid="{D5CDD505-2E9C-101B-9397-08002B2CF9AE}" pid="4" name="ICV">
    <vt:lpwstr>6436B22117EF4E82A2268FFCAD5264AF_12</vt:lpwstr>
  </property>
</Properties>
</file>